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A4869" w:rsidRPr="00DB47BD" w:rsidRDefault="00CA4869" w:rsidP="00CA4869">
      <w:pPr>
        <w:spacing w:after="0" w:line="240" w:lineRule="auto"/>
        <w:rPr>
          <w:rFonts w:ascii="Traditional Arabic" w:hAnsi="Traditional Arabic" w:cs="PT Bold Heading"/>
          <w:b/>
          <w:bCs/>
          <w:sz w:val="36"/>
          <w:szCs w:val="36"/>
          <w:rtl/>
        </w:rPr>
      </w:pPr>
    </w:p>
    <w:p w:rsidR="00CA4869" w:rsidRPr="00DB47BD" w:rsidRDefault="00CA4869" w:rsidP="00CA4869">
      <w:pPr>
        <w:spacing w:after="0" w:line="240" w:lineRule="auto"/>
        <w:rPr>
          <w:rFonts w:ascii="Traditional Arabic" w:hAnsi="Traditional Arabic" w:cs="PT Bold Heading"/>
          <w:b/>
          <w:bCs/>
          <w:sz w:val="36"/>
          <w:szCs w:val="36"/>
          <w:rtl/>
        </w:rPr>
      </w:pPr>
    </w:p>
    <w:p w:rsidR="00CA4869" w:rsidRPr="00DB47BD" w:rsidRDefault="00CA4869" w:rsidP="00CA4869">
      <w:pPr>
        <w:spacing w:after="0" w:line="240" w:lineRule="auto"/>
        <w:rPr>
          <w:rFonts w:ascii="Traditional Arabic" w:hAnsi="Traditional Arabic" w:cs="PT Bold Heading"/>
          <w:b/>
          <w:bCs/>
          <w:sz w:val="36"/>
          <w:szCs w:val="36"/>
          <w:rtl/>
        </w:rPr>
      </w:pPr>
    </w:p>
    <w:p w:rsidR="00CA4869" w:rsidRPr="00DB47BD" w:rsidRDefault="00CA4869" w:rsidP="00CA4869">
      <w:pPr>
        <w:spacing w:after="0" w:line="240" w:lineRule="auto"/>
        <w:rPr>
          <w:rFonts w:ascii="Traditional Arabic" w:hAnsi="Traditional Arabic" w:cs="PT Bold Heading"/>
          <w:b/>
          <w:bCs/>
          <w:sz w:val="36"/>
          <w:szCs w:val="36"/>
          <w:rtl/>
        </w:rPr>
      </w:pPr>
    </w:p>
    <w:p w:rsidR="00CA4869" w:rsidRPr="00DB47BD" w:rsidRDefault="00CA4869" w:rsidP="00CA4869">
      <w:pPr>
        <w:spacing w:after="0" w:line="240" w:lineRule="auto"/>
        <w:rPr>
          <w:rFonts w:ascii="Traditional Arabic" w:hAnsi="Traditional Arabic" w:cs="PT Bold Heading"/>
          <w:b/>
          <w:bCs/>
          <w:sz w:val="36"/>
          <w:szCs w:val="36"/>
          <w:rtl/>
        </w:rPr>
      </w:pPr>
    </w:p>
    <w:p w:rsidR="00CA4869" w:rsidRPr="00DB47BD" w:rsidRDefault="00CA4869" w:rsidP="00CA4869">
      <w:pPr>
        <w:spacing w:after="0" w:line="240" w:lineRule="auto"/>
        <w:rPr>
          <w:rFonts w:ascii="Traditional Arabic" w:hAnsi="Traditional Arabic" w:cs="PT Bold Heading"/>
          <w:b/>
          <w:bCs/>
          <w:sz w:val="36"/>
          <w:szCs w:val="36"/>
          <w:rtl/>
        </w:rPr>
      </w:pPr>
    </w:p>
    <w:p w:rsidR="00CA4869" w:rsidRPr="00DB47BD" w:rsidRDefault="00CA4869" w:rsidP="00CA4869">
      <w:pPr>
        <w:spacing w:after="0" w:line="240" w:lineRule="auto"/>
        <w:rPr>
          <w:rFonts w:ascii="Traditional Arabic" w:hAnsi="Traditional Arabic" w:cs="PT Bold Heading"/>
          <w:b/>
          <w:bCs/>
          <w:sz w:val="36"/>
          <w:szCs w:val="36"/>
          <w:rtl/>
        </w:rPr>
      </w:pPr>
    </w:p>
    <w:p w:rsidR="00CA4869" w:rsidRDefault="00CA4869" w:rsidP="00CA4869">
      <w:pPr>
        <w:jc w:val="center"/>
        <w:rPr>
          <w:rFonts w:ascii="Traditional Arabic" w:hAnsi="Traditional Arabic" w:cs="PT Bold Heading"/>
          <w:b/>
          <w:bCs/>
          <w:sz w:val="36"/>
          <w:szCs w:val="36"/>
          <w:rtl/>
        </w:rPr>
      </w:pPr>
    </w:p>
    <w:p w:rsidR="00CA4869" w:rsidRDefault="00CA4869" w:rsidP="00CA4869">
      <w:pPr>
        <w:jc w:val="center"/>
        <w:rPr>
          <w:rFonts w:ascii="Traditional Arabic" w:hAnsi="Traditional Arabic" w:cs="PT Bold Heading"/>
          <w:b/>
          <w:bCs/>
          <w:sz w:val="36"/>
          <w:szCs w:val="36"/>
          <w:rtl/>
        </w:rPr>
      </w:pPr>
    </w:p>
    <w:p w:rsidR="00CA4869" w:rsidRPr="00DB47BD" w:rsidRDefault="00CA4869" w:rsidP="00CA4869">
      <w:pPr>
        <w:jc w:val="center"/>
        <w:rPr>
          <w:rFonts w:ascii="Traditional Arabic" w:hAnsi="Traditional Arabic" w:cs="PT Bold Heading"/>
          <w:sz w:val="36"/>
          <w:szCs w:val="36"/>
          <w:rtl/>
        </w:rPr>
      </w:pPr>
      <w:r w:rsidRPr="00DB47BD">
        <w:rPr>
          <w:rFonts w:ascii="Traditional Arabic" w:hAnsi="Traditional Arabic" w:cs="PT Bold Heading" w:hint="cs"/>
          <w:sz w:val="36"/>
          <w:szCs w:val="36"/>
          <w:rtl/>
        </w:rPr>
        <w:t>قاعدة فقهية:</w:t>
      </w:r>
    </w:p>
    <w:p w:rsidR="00CA4869" w:rsidRPr="00DB47BD" w:rsidRDefault="00CA4869" w:rsidP="00CA4869">
      <w:pPr>
        <w:rPr>
          <w:rFonts w:ascii="Traditional Arabic" w:hAnsi="Traditional Arabic" w:cs="PT Bold Heading"/>
          <w:b/>
          <w:bCs/>
          <w:sz w:val="36"/>
          <w:szCs w:val="36"/>
          <w:rtl/>
        </w:rPr>
      </w:pPr>
      <w:r w:rsidRPr="00DB47BD">
        <w:rPr>
          <w:rFonts w:ascii="Traditional Arabic" w:hAnsi="Traditional Arabic" w:cs="PT Bold Heading" w:hint="cs"/>
          <w:b/>
          <w:bCs/>
          <w:sz w:val="36"/>
          <w:szCs w:val="36"/>
          <w:rtl/>
        </w:rPr>
        <w:t xml:space="preserve">      (النِّيَّةُ سَبَبٌ ضَعِيفٌ يَنقُلُ إلى الأصلِ ولا يَنقُلُ عَنه)</w:t>
      </w:r>
    </w:p>
    <w:p w:rsidR="00CA4869" w:rsidRPr="00DB47BD" w:rsidRDefault="00CA4869" w:rsidP="00CA4869">
      <w:pPr>
        <w:widowControl w:val="0"/>
        <w:spacing w:after="0" w:line="240" w:lineRule="auto"/>
        <w:ind w:firstLine="454"/>
        <w:jc w:val="center"/>
        <w:rPr>
          <w:rFonts w:ascii="Traditional Arabic" w:hAnsi="Traditional Arabic" w:cs="Traditional Arabic"/>
          <w:b/>
          <w:bCs/>
          <w:sz w:val="36"/>
          <w:szCs w:val="36"/>
          <w:rtl/>
        </w:rPr>
      </w:pPr>
    </w:p>
    <w:p w:rsidR="00CA4869" w:rsidRPr="00DB47BD" w:rsidRDefault="00CA4869" w:rsidP="00CA4869">
      <w:pPr>
        <w:widowControl w:val="0"/>
        <w:spacing w:after="0" w:line="240" w:lineRule="auto"/>
        <w:ind w:firstLine="454"/>
        <w:jc w:val="center"/>
        <w:rPr>
          <w:rFonts w:ascii="Traditional Arabic" w:hAnsi="Traditional Arabic" w:cs="Traditional Arabic"/>
          <w:sz w:val="36"/>
          <w:szCs w:val="36"/>
          <w:rtl/>
        </w:rPr>
      </w:pPr>
    </w:p>
    <w:p w:rsidR="00CA4869" w:rsidRPr="00DB47BD" w:rsidRDefault="00CA4869" w:rsidP="00CA4869">
      <w:pPr>
        <w:widowControl w:val="0"/>
        <w:spacing w:after="0" w:line="240" w:lineRule="auto"/>
        <w:ind w:firstLine="454"/>
        <w:jc w:val="center"/>
        <w:rPr>
          <w:rFonts w:ascii="Traditional Arabic" w:hAnsi="Traditional Arabic" w:cs="Traditional Arabic"/>
          <w:sz w:val="36"/>
          <w:szCs w:val="36"/>
          <w:rtl/>
        </w:rPr>
      </w:pPr>
    </w:p>
    <w:p w:rsidR="00CA4869" w:rsidRPr="00DB47BD" w:rsidRDefault="00CA4869" w:rsidP="00CA4869">
      <w:pPr>
        <w:widowControl w:val="0"/>
        <w:spacing w:after="0" w:line="240" w:lineRule="auto"/>
        <w:ind w:firstLine="454"/>
        <w:jc w:val="center"/>
        <w:rPr>
          <w:rFonts w:ascii="Traditional Arabic" w:hAnsi="Traditional Arabic" w:cs="Traditional Arabic"/>
          <w:sz w:val="36"/>
          <w:szCs w:val="36"/>
          <w:rtl/>
        </w:rPr>
      </w:pPr>
    </w:p>
    <w:p w:rsidR="00CA4869" w:rsidRPr="00DB47BD" w:rsidRDefault="00CA4869" w:rsidP="00CA4869">
      <w:pPr>
        <w:widowControl w:val="0"/>
        <w:spacing w:after="0" w:line="240" w:lineRule="auto"/>
        <w:ind w:firstLine="454"/>
        <w:jc w:val="center"/>
        <w:rPr>
          <w:rFonts w:ascii="Traditional Arabic" w:hAnsi="Traditional Arabic" w:cs="Traditional Arabic"/>
          <w:sz w:val="36"/>
          <w:szCs w:val="36"/>
          <w:rtl/>
        </w:rPr>
      </w:pPr>
    </w:p>
    <w:p w:rsidR="00CA4869" w:rsidRPr="00DB47BD" w:rsidRDefault="00CA4869" w:rsidP="00CA4869">
      <w:pPr>
        <w:widowControl w:val="0"/>
        <w:spacing w:after="0" w:line="240" w:lineRule="auto"/>
        <w:ind w:firstLine="454"/>
        <w:jc w:val="center"/>
        <w:rPr>
          <w:rFonts w:ascii="Traditional Arabic" w:hAnsi="Traditional Arabic" w:cs="Traditional Arabic"/>
          <w:sz w:val="36"/>
          <w:szCs w:val="36"/>
          <w:rtl/>
        </w:rPr>
      </w:pPr>
    </w:p>
    <w:p w:rsidR="00CA4869" w:rsidRPr="00DB47BD" w:rsidRDefault="00CA4869" w:rsidP="00CA4869">
      <w:pPr>
        <w:widowControl w:val="0"/>
        <w:spacing w:after="0" w:line="240" w:lineRule="auto"/>
        <w:ind w:firstLine="454"/>
        <w:jc w:val="center"/>
        <w:rPr>
          <w:rFonts w:ascii="Traditional Arabic" w:hAnsi="Traditional Arabic" w:cs="Traditional Arabic"/>
          <w:sz w:val="36"/>
          <w:szCs w:val="36"/>
          <w:rtl/>
        </w:rPr>
      </w:pPr>
    </w:p>
    <w:p w:rsidR="00CA4869" w:rsidRPr="00DB47BD" w:rsidRDefault="00CA4869" w:rsidP="00CA4869">
      <w:pPr>
        <w:widowControl w:val="0"/>
        <w:spacing w:after="0" w:line="240" w:lineRule="auto"/>
        <w:ind w:firstLine="454"/>
        <w:jc w:val="center"/>
        <w:rPr>
          <w:rFonts w:ascii="Traditional Arabic" w:hAnsi="Traditional Arabic" w:cs="Traditional Arabic"/>
          <w:sz w:val="36"/>
          <w:szCs w:val="36"/>
          <w:rtl/>
        </w:rPr>
      </w:pPr>
    </w:p>
    <w:p w:rsidR="00CA4869" w:rsidRPr="00DB47BD" w:rsidRDefault="00CA4869" w:rsidP="00CA4869">
      <w:pPr>
        <w:widowControl w:val="0"/>
        <w:spacing w:after="0" w:line="240" w:lineRule="auto"/>
        <w:ind w:firstLine="454"/>
        <w:jc w:val="center"/>
        <w:rPr>
          <w:rFonts w:ascii="Traditional Arabic" w:hAnsi="Traditional Arabic" w:cs="Traditional Arabic"/>
          <w:sz w:val="36"/>
          <w:szCs w:val="36"/>
          <w:rtl/>
        </w:rPr>
      </w:pPr>
    </w:p>
    <w:p w:rsidR="00CA4869" w:rsidRPr="00DB47BD" w:rsidRDefault="00CA4869" w:rsidP="00CA4869">
      <w:pPr>
        <w:widowControl w:val="0"/>
        <w:spacing w:after="0" w:line="240" w:lineRule="auto"/>
        <w:rPr>
          <w:rFonts w:ascii="Traditional Arabic" w:hAnsi="Traditional Arabic" w:cs="Traditional Arabic"/>
          <w:sz w:val="36"/>
          <w:szCs w:val="36"/>
          <w:rtl/>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center"/>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مقدمة</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الحمد لله والصلاة والسلام على رسول الله وعلى </w:t>
      </w:r>
      <w:proofErr w:type="spellStart"/>
      <w:r w:rsidRPr="00DB47BD">
        <w:rPr>
          <w:rFonts w:ascii="Traditional Arabic" w:eastAsia="Times New Roman" w:hAnsi="Traditional Arabic" w:cs="Traditional Arabic" w:hint="cs"/>
          <w:color w:val="000000"/>
          <w:sz w:val="36"/>
          <w:szCs w:val="36"/>
          <w:rtl/>
          <w:lang w:eastAsia="ar-SA" w:bidi="ar-EG"/>
        </w:rPr>
        <w:t>آله</w:t>
      </w:r>
      <w:proofErr w:type="spellEnd"/>
      <w:r w:rsidRPr="00DB47BD">
        <w:rPr>
          <w:rFonts w:ascii="Traditional Arabic" w:eastAsia="Times New Roman" w:hAnsi="Traditional Arabic" w:cs="Traditional Arabic" w:hint="cs"/>
          <w:color w:val="000000"/>
          <w:sz w:val="36"/>
          <w:szCs w:val="36"/>
          <w:rtl/>
          <w:lang w:eastAsia="ar-SA" w:bidi="ar-EG"/>
        </w:rPr>
        <w:t xml:space="preserve"> وصحبه ومن اهتدى </w:t>
      </w:r>
      <w:proofErr w:type="spellStart"/>
      <w:r w:rsidRPr="00DB47BD">
        <w:rPr>
          <w:rFonts w:ascii="Traditional Arabic" w:eastAsia="Times New Roman" w:hAnsi="Traditional Arabic" w:cs="Traditional Arabic" w:hint="cs"/>
          <w:color w:val="000000"/>
          <w:sz w:val="36"/>
          <w:szCs w:val="36"/>
          <w:rtl/>
          <w:lang w:eastAsia="ar-SA" w:bidi="ar-EG"/>
        </w:rPr>
        <w:t>بهداه</w:t>
      </w:r>
      <w:proofErr w:type="spellEnd"/>
      <w:r w:rsidRPr="00DB47BD">
        <w:rPr>
          <w:rFonts w:ascii="Traditional Arabic" w:eastAsia="Times New Roman" w:hAnsi="Traditional Arabic" w:cs="Traditional Arabic" w:hint="cs"/>
          <w:color w:val="000000"/>
          <w:sz w:val="36"/>
          <w:szCs w:val="36"/>
          <w:rtl/>
          <w:lang w:eastAsia="ar-SA" w:bidi="ar-EG"/>
        </w:rPr>
        <w:t xml:space="preserve"> واتبع رضاه إلى يوم الدين، أما بعد: </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فإنه ما من العبادات من شيء إلا وقد بينته الشريعة وأوضحت أحكامه، مما </w:t>
      </w:r>
      <w:proofErr w:type="spellStart"/>
      <w:r w:rsidRPr="00DB47BD">
        <w:rPr>
          <w:rFonts w:ascii="Traditional Arabic" w:eastAsia="Times New Roman" w:hAnsi="Traditional Arabic" w:cs="Traditional Arabic" w:hint="cs"/>
          <w:color w:val="000000"/>
          <w:sz w:val="36"/>
          <w:szCs w:val="36"/>
          <w:rtl/>
          <w:lang w:eastAsia="ar-SA" w:bidi="ar-EG"/>
        </w:rPr>
        <w:t>لايدع</w:t>
      </w:r>
      <w:proofErr w:type="spellEnd"/>
      <w:r w:rsidRPr="00DB47BD">
        <w:rPr>
          <w:rFonts w:ascii="Traditional Arabic" w:eastAsia="Times New Roman" w:hAnsi="Traditional Arabic" w:cs="Traditional Arabic" w:hint="cs"/>
          <w:color w:val="000000"/>
          <w:sz w:val="36"/>
          <w:szCs w:val="36"/>
          <w:rtl/>
          <w:lang w:eastAsia="ar-SA" w:bidi="ar-EG"/>
        </w:rPr>
        <w:t xml:space="preserve"> شكا لذي لب أن هذه الشريعة متوازنة متكاملة منزلة من لدن حكيم عليم، ثم إن هذه الشريعة الغراء قد بنيت على أصول وقواعد وفتح الشارع الحكيم باب الاجتهاد والقياس على هذه الأصول والقواعد </w:t>
      </w:r>
      <w:proofErr w:type="spellStart"/>
      <w:r w:rsidRPr="00DB47BD">
        <w:rPr>
          <w:rFonts w:ascii="Traditional Arabic" w:eastAsia="Times New Roman" w:hAnsi="Traditional Arabic" w:cs="Traditional Arabic" w:hint="cs"/>
          <w:color w:val="000000"/>
          <w:sz w:val="36"/>
          <w:szCs w:val="36"/>
          <w:rtl/>
          <w:lang w:eastAsia="ar-SA" w:bidi="ar-EG"/>
        </w:rPr>
        <w:t>فمامن</w:t>
      </w:r>
      <w:proofErr w:type="spellEnd"/>
      <w:r w:rsidRPr="00DB47BD">
        <w:rPr>
          <w:rFonts w:ascii="Traditional Arabic" w:eastAsia="Times New Roman" w:hAnsi="Traditional Arabic" w:cs="Traditional Arabic" w:hint="cs"/>
          <w:color w:val="000000"/>
          <w:sz w:val="36"/>
          <w:szCs w:val="36"/>
          <w:rtl/>
          <w:lang w:eastAsia="ar-SA" w:bidi="ar-EG"/>
        </w:rPr>
        <w:t xml:space="preserve"> خير أو معروف إلا وقد نص عليه الشرع أو جعله مندرجا تحت حكم قاعدة أو أصل.</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وما زال العلماء يستنبطون ويستخرجون القواعد لكي تنضبط لدى الفقيه الفروع، وتتضح لديه طرائق الفقه ومسالكه، فتُرَدَّ المسائل إلى أصولها، ولا تنتقض على الفقيه الأصول.</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وعندما كنت أحقق كتاب "التوضيح شرح مختصر ابن الحاجب" أطروحة الدكتوراه، استوقفني عدد من القواعد والكليات، والتي كانت عناية الفقه المالكي بها دقيقة وفائقة فلهم اليد </w:t>
      </w:r>
      <w:proofErr w:type="spellStart"/>
      <w:r w:rsidRPr="00DB47BD">
        <w:rPr>
          <w:rFonts w:ascii="Traditional Arabic" w:eastAsia="Times New Roman" w:hAnsi="Traditional Arabic" w:cs="Traditional Arabic" w:hint="cs"/>
          <w:color w:val="000000"/>
          <w:sz w:val="36"/>
          <w:szCs w:val="36"/>
          <w:rtl/>
          <w:lang w:eastAsia="ar-SA" w:bidi="ar-EG"/>
        </w:rPr>
        <w:t>الطولى</w:t>
      </w:r>
      <w:proofErr w:type="spellEnd"/>
      <w:r w:rsidRPr="00DB47BD">
        <w:rPr>
          <w:rFonts w:ascii="Traditional Arabic" w:eastAsia="Times New Roman" w:hAnsi="Traditional Arabic" w:cs="Traditional Arabic" w:hint="cs"/>
          <w:color w:val="000000"/>
          <w:sz w:val="36"/>
          <w:szCs w:val="36"/>
          <w:rtl/>
          <w:lang w:eastAsia="ar-SA" w:bidi="ar-EG"/>
        </w:rPr>
        <w:t xml:space="preserve"> في تحريرها وضبطها وتطبيقها.</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ومن جملة القواعد هذه القاعدة، فمن علماء المالكية من نص على هذه القاعدة التي هي عنوان هذه الدراسة، وذلك في ثنايا كتاب "التوضيح شرح جامع الأمهات"، فقد نص عليها خليل بن إسحاق المالكي.</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وأما </w:t>
      </w:r>
      <w:r w:rsidRPr="00DB47BD">
        <w:rPr>
          <w:rFonts w:ascii="Traditional Arabic" w:eastAsia="Times New Roman" w:hAnsi="Traditional Arabic" w:cs="Traditional Arabic" w:hint="cs"/>
          <w:b/>
          <w:bCs/>
          <w:color w:val="000000"/>
          <w:sz w:val="36"/>
          <w:szCs w:val="36"/>
          <w:rtl/>
          <w:lang w:eastAsia="ar-SA" w:bidi="ar-EG"/>
        </w:rPr>
        <w:t xml:space="preserve">الدراسات </w:t>
      </w:r>
      <w:proofErr w:type="gramStart"/>
      <w:r w:rsidRPr="00DB47BD">
        <w:rPr>
          <w:rFonts w:ascii="Traditional Arabic" w:eastAsia="Times New Roman" w:hAnsi="Traditional Arabic" w:cs="Traditional Arabic" w:hint="cs"/>
          <w:b/>
          <w:bCs/>
          <w:color w:val="000000"/>
          <w:sz w:val="36"/>
          <w:szCs w:val="36"/>
          <w:rtl/>
          <w:lang w:eastAsia="ar-SA" w:bidi="ar-EG"/>
        </w:rPr>
        <w:t xml:space="preserve">السابقة </w:t>
      </w:r>
      <w:r w:rsidRPr="00DB47BD">
        <w:rPr>
          <w:rFonts w:ascii="Traditional Arabic" w:eastAsia="Times New Roman" w:hAnsi="Traditional Arabic" w:cs="Traditional Arabic" w:hint="cs"/>
          <w:color w:val="000000"/>
          <w:sz w:val="36"/>
          <w:szCs w:val="36"/>
          <w:rtl/>
          <w:lang w:eastAsia="ar-SA" w:bidi="ar-EG"/>
        </w:rPr>
        <w:t>:</w:t>
      </w:r>
      <w:proofErr w:type="gramEnd"/>
    </w:p>
    <w:p w:rsidR="00CA4869" w:rsidRPr="00DB47BD" w:rsidRDefault="00CA4869" w:rsidP="00CA4869">
      <w:pPr>
        <w:pStyle w:val="a5"/>
        <w:widowControl w:val="0"/>
        <w:numPr>
          <w:ilvl w:val="0"/>
          <w:numId w:val="8"/>
        </w:numPr>
        <w:spacing w:after="0" w:line="240" w:lineRule="auto"/>
        <w:jc w:val="lowKashida"/>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فالكلام على هذه القاعدة جديد في بابه حسب علمي، حيث لم أقف رغم بحثي القاصر عمن تكلم على هذه القاعدة في </w:t>
      </w:r>
      <w:r w:rsidRPr="00DB47BD">
        <w:rPr>
          <w:rFonts w:ascii="Traditional Arabic" w:eastAsia="Times New Roman" w:hAnsi="Traditional Arabic" w:cs="Traditional Arabic" w:hint="cs"/>
          <w:color w:val="000000"/>
          <w:sz w:val="36"/>
          <w:szCs w:val="36"/>
          <w:u w:val="single"/>
          <w:rtl/>
          <w:lang w:eastAsia="ar-SA" w:bidi="ar-EG"/>
        </w:rPr>
        <w:t>دراسة مستقلة</w:t>
      </w:r>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pStyle w:val="a5"/>
        <w:widowControl w:val="0"/>
        <w:numPr>
          <w:ilvl w:val="0"/>
          <w:numId w:val="8"/>
        </w:numPr>
        <w:spacing w:after="0" w:line="240" w:lineRule="auto"/>
        <w:jc w:val="lowKashida"/>
        <w:rPr>
          <w:rStyle w:val="a4"/>
          <w:rFonts w:ascii="Traditional Arabic" w:eastAsia="Times New Roman" w:hAnsi="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إنما كانت دراسات تدور حول النية بشكل عام أو ضمن مجموعة من القواعد المتعلقة ببعض فروع </w:t>
      </w:r>
      <w:proofErr w:type="spellStart"/>
      <w:r w:rsidRPr="00DB47BD">
        <w:rPr>
          <w:rFonts w:ascii="Traditional Arabic" w:eastAsia="Times New Roman" w:hAnsi="Traditional Arabic" w:cs="Traditional Arabic" w:hint="cs"/>
          <w:color w:val="000000"/>
          <w:sz w:val="36"/>
          <w:szCs w:val="36"/>
          <w:rtl/>
          <w:lang w:eastAsia="ar-SA" w:bidi="ar-EG"/>
        </w:rPr>
        <w:t>النيةك</w:t>
      </w:r>
      <w:proofErr w:type="spellEnd"/>
      <w:r w:rsidRPr="00DB47BD">
        <w:rPr>
          <w:rFonts w:ascii="Traditional Arabic" w:eastAsia="Times New Roman" w:hAnsi="Traditional Arabic" w:cs="Traditional Arabic" w:hint="cs"/>
          <w:color w:val="000000"/>
          <w:sz w:val="36"/>
          <w:szCs w:val="36"/>
          <w:rtl/>
          <w:lang w:eastAsia="ar-SA" w:bidi="ar-EG"/>
        </w:rPr>
        <w:t xml:space="preserve">ـ"حكم قطع النية"، فقد أشار إليها الزركشي الشافعي في مسائل (قطع النية) وذكر أن النية تنقل إلى الأصل ولا تنقل عنه ولم يذكر كونها </w:t>
      </w:r>
      <w:r w:rsidRPr="00DB47BD">
        <w:rPr>
          <w:rFonts w:ascii="Traditional Arabic" w:eastAsia="Times New Roman" w:hAnsi="Traditional Arabic" w:cs="Traditional Arabic" w:hint="cs"/>
          <w:color w:val="000000"/>
          <w:sz w:val="36"/>
          <w:szCs w:val="36"/>
          <w:rtl/>
          <w:lang w:eastAsia="ar-SA" w:bidi="ar-EG"/>
        </w:rPr>
        <w:lastRenderedPageBreak/>
        <w:t>سببا ضعيفا.</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1"/>
      </w:r>
      <w:r w:rsidRPr="00DB47BD">
        <w:rPr>
          <w:rStyle w:val="a4"/>
          <w:rFonts w:ascii="Traditional Arabic" w:hAnsi="Traditional Arabic"/>
          <w:sz w:val="36"/>
          <w:szCs w:val="36"/>
          <w:rtl/>
        </w:rPr>
        <w:t>)</w:t>
      </w:r>
    </w:p>
    <w:p w:rsidR="00CA4869" w:rsidRPr="00DB47BD" w:rsidRDefault="00CA4869" w:rsidP="00CA4869">
      <w:pPr>
        <w:pStyle w:val="a5"/>
        <w:widowControl w:val="0"/>
        <w:spacing w:after="0" w:line="240" w:lineRule="auto"/>
        <w:ind w:left="960"/>
        <w:jc w:val="lowKashida"/>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وفي كتاب الدكتور صالح السدلان: "النية وأثرها في الأحكام الشرعية" وهي أطروحة دكتوراه في مجلدين تناول فيها قواعد وصفها بالحقائق في آخر الكتاب ولم أجدها فيه كما لم أعثر عليها في ثناياه إلا في كلام له فيه إِشارة إلى بعض معانيها في مسألة قطع نية الصائم للصوم وسـتأتي.</w:t>
      </w:r>
    </w:p>
    <w:p w:rsidR="00CA4869" w:rsidRPr="00DB47BD" w:rsidRDefault="00CA4869" w:rsidP="00CA4869">
      <w:pPr>
        <w:pStyle w:val="a5"/>
        <w:widowControl w:val="0"/>
        <w:numPr>
          <w:ilvl w:val="0"/>
          <w:numId w:val="8"/>
        </w:numPr>
        <w:spacing w:after="0" w:line="240" w:lineRule="auto"/>
        <w:jc w:val="lowKashida"/>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لم ينص عليها في كثير من كتب القواعد وموسوعاتها، فقد خلت منها بعد التتبع في مظانها، كالأشباه والنظائر للسيوطي وابن نجيم وابن الوكيل وقواعد ابن رجب وغيرهم وكذا الموسوعات المعاصرة. </w:t>
      </w:r>
    </w:p>
    <w:p w:rsidR="00CA4869" w:rsidRPr="00DB47BD" w:rsidRDefault="00CA4869" w:rsidP="00CA4869">
      <w:pPr>
        <w:pStyle w:val="a5"/>
        <w:widowControl w:val="0"/>
        <w:numPr>
          <w:ilvl w:val="0"/>
          <w:numId w:val="8"/>
        </w:numPr>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ذكرت ضمن القواعد الفقهية في موسوعة: "معلمة زايد للقواعد الفقهية والأصولية"</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2"/>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xml:space="preserve"> ولم أطلع على ذلك إلا بعد الانتهاء من كتابة البحث.</w:t>
      </w:r>
    </w:p>
    <w:p w:rsidR="00CA4869" w:rsidRPr="00DB47BD" w:rsidRDefault="00CA4869" w:rsidP="00CA4869">
      <w:pPr>
        <w:pStyle w:val="a5"/>
        <w:widowControl w:val="0"/>
        <w:numPr>
          <w:ilvl w:val="0"/>
          <w:numId w:val="8"/>
        </w:numPr>
        <w:spacing w:after="0" w:line="240" w:lineRule="auto"/>
        <w:jc w:val="lowKashida"/>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وفي "القواعد للمقري": القاعدة السادسة والستون بعد المئتين.</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3"/>
      </w:r>
      <w:r w:rsidRPr="00DB47BD">
        <w:rPr>
          <w:rStyle w:val="a4"/>
          <w:rFonts w:ascii="Traditional Arabic" w:hAnsi="Traditional Arabic"/>
          <w:sz w:val="36"/>
          <w:szCs w:val="36"/>
          <w:rtl/>
        </w:rPr>
        <w:t>)</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وتأتي أهمية الدراسة</w:t>
      </w:r>
      <w:r w:rsidRPr="00DB47BD">
        <w:rPr>
          <w:rFonts w:ascii="Traditional Arabic" w:eastAsia="Times New Roman" w:hAnsi="Traditional Arabic" w:cs="Traditional Arabic" w:hint="cs"/>
          <w:color w:val="000000"/>
          <w:sz w:val="36"/>
          <w:szCs w:val="36"/>
          <w:rtl/>
          <w:lang w:eastAsia="ar-SA" w:bidi="ar-EG"/>
        </w:rPr>
        <w:t xml:space="preserve"> كونها تتعلق بقاعدة فقهية لها تطبيقات قد تفيد المتمعن بها مزيد تبصر في الترجيح، ويمكن أن نضيف إلى قواعد الفقه قاعدة لها محلها ومنزلتها من فقه الفقهاء، فيمكن أن تندرج تحت قاعدة: (الأمور بمقاصدها) كقاعدة من القواعد المقيدة لها، أو يمكن </w:t>
      </w:r>
      <w:r w:rsidRPr="00DB47BD">
        <w:rPr>
          <w:rFonts w:ascii="Traditional Arabic" w:eastAsia="Times New Roman" w:hAnsi="Traditional Arabic" w:cs="Traditional Arabic" w:hint="cs"/>
          <w:color w:val="000000"/>
          <w:sz w:val="36"/>
          <w:szCs w:val="36"/>
          <w:rtl/>
          <w:lang w:eastAsia="ar-SA" w:bidi="ar-EG"/>
        </w:rPr>
        <w:lastRenderedPageBreak/>
        <w:t xml:space="preserve">مؤاخاتها بقاعدة: (الأصل في الأمور العارضة العدم)، تحت قواعد الاستصحاب فإن كلا القاعدتين له مدلول في هذه القاعدة، والأول أقرب في نظر الباحث.  </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ويهدف البحث</w:t>
      </w:r>
      <w:r w:rsidRPr="00DB47BD">
        <w:rPr>
          <w:rFonts w:ascii="Traditional Arabic" w:eastAsia="Times New Roman" w:hAnsi="Traditional Arabic" w:cs="Traditional Arabic" w:hint="cs"/>
          <w:color w:val="000000"/>
          <w:sz w:val="36"/>
          <w:szCs w:val="36"/>
          <w:rtl/>
          <w:lang w:eastAsia="ar-SA" w:bidi="ar-EG"/>
        </w:rPr>
        <w:t xml:space="preserve"> إلى:</w:t>
      </w:r>
    </w:p>
    <w:p w:rsidR="00CA4869" w:rsidRPr="00DB47BD" w:rsidRDefault="00CA4869" w:rsidP="00CA4869">
      <w:pPr>
        <w:pStyle w:val="a5"/>
        <w:widowControl w:val="0"/>
        <w:numPr>
          <w:ilvl w:val="0"/>
          <w:numId w:val="5"/>
        </w:numPr>
        <w:spacing w:after="0" w:line="240" w:lineRule="auto"/>
        <w:jc w:val="lowKashida"/>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تجلية موضوع القاعدة وبيان معناها.</w:t>
      </w:r>
    </w:p>
    <w:p w:rsidR="00CA4869" w:rsidRPr="00DB47BD" w:rsidRDefault="00CA4869" w:rsidP="00CA4869">
      <w:pPr>
        <w:pStyle w:val="a5"/>
        <w:widowControl w:val="0"/>
        <w:numPr>
          <w:ilvl w:val="0"/>
          <w:numId w:val="5"/>
        </w:numPr>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إضافة قاعدة معتبرة إلى جملة </w:t>
      </w:r>
      <w:proofErr w:type="gramStart"/>
      <w:r w:rsidRPr="00DB47BD">
        <w:rPr>
          <w:rFonts w:ascii="Traditional Arabic" w:eastAsia="Times New Roman" w:hAnsi="Traditional Arabic" w:cs="Traditional Arabic" w:hint="cs"/>
          <w:color w:val="000000"/>
          <w:sz w:val="36"/>
          <w:szCs w:val="36"/>
          <w:rtl/>
          <w:lang w:eastAsia="ar-SA" w:bidi="ar-EG"/>
        </w:rPr>
        <w:t>القواعد .</w:t>
      </w:r>
      <w:proofErr w:type="gramEnd"/>
    </w:p>
    <w:p w:rsidR="00CA4869" w:rsidRPr="00DB47BD" w:rsidRDefault="00CA4869" w:rsidP="00CA4869">
      <w:pPr>
        <w:pStyle w:val="a5"/>
        <w:widowControl w:val="0"/>
        <w:numPr>
          <w:ilvl w:val="0"/>
          <w:numId w:val="5"/>
        </w:numPr>
        <w:spacing w:after="0" w:line="240" w:lineRule="auto"/>
        <w:jc w:val="lowKashida"/>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إيجاد تطبيقات تبين أثر القاعدة، وأن النية سبب ينقل إلى الأصل ولا ينقل </w:t>
      </w:r>
      <w:proofErr w:type="gramStart"/>
      <w:r w:rsidRPr="00DB47BD">
        <w:rPr>
          <w:rFonts w:ascii="Traditional Arabic" w:eastAsia="Times New Roman" w:hAnsi="Traditional Arabic" w:cs="Traditional Arabic" w:hint="cs"/>
          <w:color w:val="000000"/>
          <w:sz w:val="36"/>
          <w:szCs w:val="36"/>
          <w:rtl/>
          <w:lang w:eastAsia="ar-SA" w:bidi="ar-EG"/>
        </w:rPr>
        <w:t>عنه  وإيضاح</w:t>
      </w:r>
      <w:proofErr w:type="gramEnd"/>
      <w:r w:rsidRPr="00DB47BD">
        <w:rPr>
          <w:rFonts w:ascii="Traditional Arabic" w:eastAsia="Times New Roman" w:hAnsi="Traditional Arabic" w:cs="Traditional Arabic" w:hint="cs"/>
          <w:color w:val="000000"/>
          <w:sz w:val="36"/>
          <w:szCs w:val="36"/>
          <w:rtl/>
          <w:lang w:eastAsia="ar-SA" w:bidi="ar-EG"/>
        </w:rPr>
        <w:t xml:space="preserve"> ذلك بالتفصيل.</w:t>
      </w:r>
    </w:p>
    <w:p w:rsidR="00CA4869" w:rsidRPr="00DB47BD" w:rsidRDefault="00CA4869" w:rsidP="00CA4869">
      <w:pPr>
        <w:pStyle w:val="a5"/>
        <w:widowControl w:val="0"/>
        <w:numPr>
          <w:ilvl w:val="0"/>
          <w:numId w:val="5"/>
        </w:numPr>
        <w:spacing w:after="0" w:line="240" w:lineRule="auto"/>
        <w:jc w:val="lowKashida"/>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إثبات صحة القاعدة من خلال ذكر التطبيقات في أكثر من باب.</w:t>
      </w:r>
    </w:p>
    <w:p w:rsidR="00CA4869" w:rsidRPr="00DB47BD" w:rsidRDefault="00CA4869" w:rsidP="00CA4869">
      <w:pPr>
        <w:pStyle w:val="a5"/>
        <w:widowControl w:val="0"/>
        <w:numPr>
          <w:ilvl w:val="0"/>
          <w:numId w:val="5"/>
        </w:numPr>
        <w:spacing w:after="0" w:line="240" w:lineRule="auto"/>
        <w:jc w:val="lowKashida"/>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إثبات أنها ليست مجرد ضابط يختص بباب واحد من أبواب الفقه.</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ومنهج البحث</w:t>
      </w:r>
      <w:r w:rsidRPr="00DB47BD">
        <w:rPr>
          <w:rFonts w:ascii="Traditional Arabic" w:eastAsia="Times New Roman" w:hAnsi="Traditional Arabic" w:cs="Traditional Arabic" w:hint="cs"/>
          <w:color w:val="000000"/>
          <w:sz w:val="36"/>
          <w:szCs w:val="36"/>
          <w:rtl/>
          <w:lang w:eastAsia="ar-SA" w:bidi="ar-EG"/>
        </w:rPr>
        <w:t xml:space="preserve">: </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تحليلي تطبيقي تأصيلي</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 xml:space="preserve">وخطة البحث: </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المبحث الأول: الجانب التأصيلي للقاعدة؛ وفيه خمسة مطالب:</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المطلب الأول: معنى القاعدة من حيث مفرداتها.</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المطلب الثاني: معنى القاعدة إجمالا.</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المطلب الثالث: نصوص الفقهاء المعبرة عن القاعدة بلفظها أو معناها.</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المطلب الرابع: أدلة القاعدة.</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المطلب الخامس: فروع القاعدة</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المبحث الثاني: الجانب التطبيقي للقاعدة؛ وفيه خمسة مطالب:</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المطلب الأول: أثر القاعدة في زكاة عروض التجارة؛ وفيه مسائل. </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المطلب الثاني: أثر القاعدة في حكم إقامة المسافر وسفر المقيم.</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المطلب الثالث: أثر القاعدة في حكم الدخول في الصلاة.</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المطلب الرابع: أثر القاعدة في حكم نية الإفطار من الصائم</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المطلب الخامس: أثر القاعدة في حكم الدخول في النسك.</w:t>
      </w:r>
    </w:p>
    <w:p w:rsidR="00CA4869" w:rsidRPr="00DB47BD" w:rsidRDefault="00CA4869" w:rsidP="00CA4869">
      <w:pPr>
        <w:jc w:val="center"/>
        <w:rPr>
          <w:sz w:val="36"/>
          <w:szCs w:val="36"/>
          <w:rtl/>
        </w:rPr>
      </w:pPr>
      <w:r w:rsidRPr="00DB47BD">
        <w:rPr>
          <w:rFonts w:ascii="Traditional Arabic" w:eastAsia="Times New Roman" w:hAnsi="Traditional Arabic" w:cs="Traditional Arabic"/>
          <w:b/>
          <w:bCs/>
          <w:color w:val="000000"/>
          <w:sz w:val="36"/>
          <w:szCs w:val="36"/>
          <w:rtl/>
          <w:lang w:eastAsia="ar-SA" w:bidi="ar-EG"/>
        </w:rPr>
        <w:lastRenderedPageBreak/>
        <w:t>***</w:t>
      </w:r>
    </w:p>
    <w:p w:rsidR="00CA4869" w:rsidRPr="00DB47BD" w:rsidRDefault="00CA4869" w:rsidP="00CA4869">
      <w:pPr>
        <w:widowControl w:val="0"/>
        <w:spacing w:after="0" w:line="240" w:lineRule="auto"/>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المبحث الأول: الجانب التأصيلي للقاعدة؛ وفيه خمسة مطالب:</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المطلب الأول: معنى القاعدة من حيث مفرداتها.</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أولا:</w:t>
      </w:r>
      <w:r w:rsidRPr="00DB47BD">
        <w:rPr>
          <w:rFonts w:ascii="Traditional Arabic" w:eastAsia="Times New Roman" w:hAnsi="Traditional Arabic" w:cs="Traditional Arabic" w:hint="cs"/>
          <w:color w:val="000000"/>
          <w:sz w:val="36"/>
          <w:szCs w:val="36"/>
          <w:rtl/>
          <w:lang w:eastAsia="ar-SA" w:bidi="ar-EG"/>
        </w:rPr>
        <w:t xml:space="preserve"> </w:t>
      </w:r>
      <w:r w:rsidRPr="00DB47BD">
        <w:rPr>
          <w:rFonts w:ascii="Traditional Arabic" w:eastAsia="Times New Roman" w:hAnsi="Traditional Arabic" w:cs="Traditional Arabic" w:hint="cs"/>
          <w:b/>
          <w:bCs/>
          <w:color w:val="000000"/>
          <w:sz w:val="36"/>
          <w:szCs w:val="36"/>
          <w:rtl/>
          <w:lang w:eastAsia="ar-SA" w:bidi="ar-EG"/>
        </w:rPr>
        <w:t>معنى النية:</w:t>
      </w:r>
      <w:r w:rsidRPr="00DB47BD">
        <w:rPr>
          <w:rFonts w:ascii="Traditional Arabic" w:eastAsia="Times New Roman" w:hAnsi="Traditional Arabic" w:cs="Traditional Arabic" w:hint="cs"/>
          <w:color w:val="000000"/>
          <w:sz w:val="36"/>
          <w:szCs w:val="36"/>
          <w:rtl/>
          <w:lang w:eastAsia="ar-SA" w:bidi="ar-EG"/>
        </w:rPr>
        <w:t xml:space="preserve"> قال ابن فارس:" النون والواو والحرف المعتل يدل على معنيين: أحدهما: مَقصَدٌ لشيء، والآخر: عَجَمُ شيء". قال:" فقالوا: نَوَى الأمر </w:t>
      </w:r>
      <w:proofErr w:type="spellStart"/>
      <w:r w:rsidRPr="00DB47BD">
        <w:rPr>
          <w:rFonts w:ascii="Traditional Arabic" w:eastAsia="Times New Roman" w:hAnsi="Traditional Arabic" w:cs="Traditional Arabic" w:hint="cs"/>
          <w:color w:val="000000"/>
          <w:sz w:val="36"/>
          <w:szCs w:val="36"/>
          <w:rtl/>
          <w:lang w:eastAsia="ar-SA" w:bidi="ar-EG"/>
        </w:rPr>
        <w:t>ينويه</w:t>
      </w:r>
      <w:proofErr w:type="spellEnd"/>
      <w:r w:rsidRPr="00DB47BD">
        <w:rPr>
          <w:rFonts w:ascii="Traditional Arabic" w:eastAsia="Times New Roman" w:hAnsi="Traditional Arabic" w:cs="Traditional Arabic" w:hint="cs"/>
          <w:color w:val="000000"/>
          <w:sz w:val="36"/>
          <w:szCs w:val="36"/>
          <w:rtl/>
          <w:lang w:eastAsia="ar-SA" w:bidi="ar-EG"/>
        </w:rPr>
        <w:t>؛ إذا قَصَدَ له"</w:t>
      </w:r>
      <w:bookmarkStart w:id="0" w:name="_Hlk118305035"/>
      <w:r w:rsidRPr="00DB47BD">
        <w:rPr>
          <w:rStyle w:val="a4"/>
          <w:rFonts w:ascii="Traditional Arabic" w:hAnsi="Traditional Arabic" w:hint="cs"/>
          <w:sz w:val="36"/>
          <w:szCs w:val="36"/>
          <w:rtl/>
        </w:rPr>
        <w:t>.</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4"/>
      </w:r>
      <w:r w:rsidRPr="00DB47BD">
        <w:rPr>
          <w:rStyle w:val="a4"/>
          <w:rFonts w:ascii="Traditional Arabic" w:hAnsi="Traditional Arabic"/>
          <w:sz w:val="36"/>
          <w:szCs w:val="36"/>
          <w:rtl/>
        </w:rPr>
        <w:t>)</w:t>
      </w:r>
      <w:bookmarkEnd w:id="0"/>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والمراد هنا المعنى الأول فهي في اللغة: القصد والإرادة</w:t>
      </w:r>
      <w:r w:rsidRPr="00DB47BD">
        <w:rPr>
          <w:rStyle w:val="a4"/>
          <w:rFonts w:ascii="Traditional Arabic" w:hAnsi="Traditional Arabic"/>
          <w:sz w:val="36"/>
          <w:szCs w:val="36"/>
          <w:rtl/>
        </w:rPr>
        <w:t xml:space="preserve"> (</w:t>
      </w:r>
      <w:r w:rsidRPr="00DB47BD">
        <w:rPr>
          <w:rStyle w:val="a4"/>
          <w:rFonts w:ascii="Traditional Arabic" w:hAnsi="Traditional Arabic"/>
          <w:sz w:val="36"/>
          <w:szCs w:val="36"/>
          <w:rtl/>
        </w:rPr>
        <w:footnoteReference w:id="5"/>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وفي الاصطلاح: القصد إلى الفعل، وقال بعضهم: هي الإرادة الباعثة للأعمال، وقال بعضهم: قصد الطاعة والتقرب إلى الله في إيجاد الفعل</w:t>
      </w:r>
      <w:r w:rsidRPr="00DB47BD">
        <w:rPr>
          <w:rStyle w:val="a4"/>
          <w:rFonts w:ascii="Traditional Arabic" w:hAnsi="Traditional Arabic"/>
          <w:sz w:val="36"/>
          <w:szCs w:val="36"/>
          <w:rtl/>
        </w:rPr>
        <w:t xml:space="preserve"> (</w:t>
      </w:r>
      <w:r w:rsidRPr="00DB47BD">
        <w:rPr>
          <w:rStyle w:val="a4"/>
          <w:rFonts w:ascii="Traditional Arabic" w:hAnsi="Traditional Arabic"/>
          <w:sz w:val="36"/>
          <w:szCs w:val="36"/>
          <w:rtl/>
        </w:rPr>
        <w:footnoteReference w:id="6"/>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وبالنظر فيما سبق: فالنية يعبر عنها بالإرادة:</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تارة الإرادة الباعثة على العمل مطلقا أو بقصد الطاعة والتقرب إلى الله في إيجاد الفعل.</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وتارة قصد الفعل.</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وهي معان صحيحة، فالنية إن أريد بها تمييز العبادات عن المباحات أو تمييز العبادات بعضها عن بعض كما يذكره الفقهاء</w:t>
      </w:r>
      <w:r w:rsidRPr="00DB47BD">
        <w:rPr>
          <w:rStyle w:val="a4"/>
          <w:rFonts w:ascii="Traditional Arabic" w:hAnsi="Traditional Arabic"/>
          <w:sz w:val="36"/>
          <w:szCs w:val="36"/>
          <w:rtl/>
        </w:rPr>
        <w:t xml:space="preserve"> (</w:t>
      </w:r>
      <w:r w:rsidRPr="00DB47BD">
        <w:rPr>
          <w:rStyle w:val="a4"/>
          <w:rFonts w:ascii="Traditional Arabic" w:hAnsi="Traditional Arabic"/>
          <w:sz w:val="36"/>
          <w:szCs w:val="36"/>
          <w:rtl/>
        </w:rPr>
        <w:footnoteReference w:id="7"/>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فهذه يعبر عنها بقصد الفعل وهي من باب خطاب الوضع فإنه يترتب عليها حكم الصحة والفساد والبطلان والسببية والشرطية، فكونها شرط لصحة العبادات هو من هذا الباب.</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وإن أريد بها الباعث على فعل الشيء فهذه لابد لها من مقصود ينشأ الفعل من أجله، فهذه النية هي التي يراد منها تمييز المعمول له، أي: المقصود بالعمل، وهي التي تذكر في كتب العقائد وأعمال القلوب ويتناول الحديث عنها العارفون، والله قد أمر عباده أن يعبدوه مخلصين له الدين وهذا المعنى للنية هو من باب خطاب التكليف، فإن الله كلف عباده بإخلاص الدين له.</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والمراد بالنية في هذا البحث هو المعنى الأول وهو القصد، أي: قصد الشيء والعمل </w:t>
      </w:r>
      <w:r w:rsidRPr="00DB47BD">
        <w:rPr>
          <w:rFonts w:ascii="Traditional Arabic" w:eastAsia="Times New Roman" w:hAnsi="Traditional Arabic" w:cs="Traditional Arabic" w:hint="cs"/>
          <w:color w:val="000000"/>
          <w:sz w:val="36"/>
          <w:szCs w:val="36"/>
          <w:rtl/>
          <w:lang w:eastAsia="ar-SA" w:bidi="ar-EG"/>
        </w:rPr>
        <w:lastRenderedPageBreak/>
        <w:t>وتمييزه بين أن تكون العروض قنية أو للتجارة، أو كون الشخص مسافرا أو مقيما وفي هذه الصورة يصدق عليه أن يكون سببا أو شرطا وضعه الشارع تتعلق به الأحكام التكليفية.</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ثانيا: السبب</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في اللغة: قال في اللسان: "كل شيء يتوصل به إلى غيره".</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8"/>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xml:space="preserve">  </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وفي الاصطلاح: </w:t>
      </w:r>
      <w:proofErr w:type="spellStart"/>
      <w:r w:rsidRPr="00DB47BD">
        <w:rPr>
          <w:rFonts w:ascii="Traditional Arabic" w:eastAsia="Times New Roman" w:hAnsi="Traditional Arabic" w:cs="Traditional Arabic" w:hint="cs"/>
          <w:color w:val="000000"/>
          <w:sz w:val="36"/>
          <w:szCs w:val="36"/>
          <w:rtl/>
          <w:lang w:eastAsia="ar-SA" w:bidi="ar-EG"/>
        </w:rPr>
        <w:t>ماكان</w:t>
      </w:r>
      <w:proofErr w:type="spellEnd"/>
      <w:r w:rsidRPr="00DB47BD">
        <w:rPr>
          <w:rFonts w:ascii="Traditional Arabic" w:eastAsia="Times New Roman" w:hAnsi="Traditional Arabic" w:cs="Traditional Arabic" w:hint="cs"/>
          <w:color w:val="000000"/>
          <w:sz w:val="36"/>
          <w:szCs w:val="36"/>
          <w:rtl/>
          <w:lang w:eastAsia="ar-SA" w:bidi="ar-EG"/>
        </w:rPr>
        <w:t xml:space="preserve"> طريقا للوصول إلى الحكم.</w:t>
      </w:r>
      <w:r w:rsidRPr="00DB47BD">
        <w:rPr>
          <w:rStyle w:val="a4"/>
          <w:rFonts w:ascii="Traditional Arabic" w:hAnsi="Traditional Arabic"/>
          <w:sz w:val="36"/>
          <w:szCs w:val="36"/>
          <w:rtl/>
        </w:rPr>
        <w:t xml:space="preserve"> (</w:t>
      </w:r>
      <w:r w:rsidRPr="00DB47BD">
        <w:rPr>
          <w:rStyle w:val="a4"/>
          <w:rFonts w:ascii="Traditional Arabic" w:hAnsi="Traditional Arabic"/>
          <w:sz w:val="36"/>
          <w:szCs w:val="36"/>
          <w:rtl/>
        </w:rPr>
        <w:footnoteReference w:id="9"/>
      </w:r>
      <w:r w:rsidRPr="00DB47BD">
        <w:rPr>
          <w:rStyle w:val="a4"/>
          <w:rFonts w:ascii="Traditional Arabic" w:hAnsi="Traditional Arabic"/>
          <w:sz w:val="36"/>
          <w:szCs w:val="36"/>
          <w:rtl/>
        </w:rPr>
        <w:t>)</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والمراد بالسبب في هذه القاعدة هو: ما يتوصل به إلى غيره، فالنية هنا هي السبب فعندما نريد الانتقال إلى الأصل فإنها سبب قوي يوصل إلى الأصل، وعندما نريد أن ننقل من الأصل فإنها تضعف عن مقاومة الأصل لكونها سببا ضعيفا لا ينقل إلى غير الأصل.</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ثالثا: الأصل</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أصل </w:t>
      </w:r>
      <w:proofErr w:type="spellStart"/>
      <w:r w:rsidRPr="00DB47BD">
        <w:rPr>
          <w:rFonts w:ascii="Traditional Arabic" w:eastAsia="Times New Roman" w:hAnsi="Traditional Arabic" w:cs="Traditional Arabic" w:hint="cs"/>
          <w:color w:val="000000"/>
          <w:sz w:val="36"/>
          <w:szCs w:val="36"/>
          <w:rtl/>
          <w:lang w:eastAsia="ar-SA" w:bidi="ar-EG"/>
        </w:rPr>
        <w:t>الشئ</w:t>
      </w:r>
      <w:proofErr w:type="spellEnd"/>
      <w:r w:rsidRPr="00DB47BD">
        <w:rPr>
          <w:rFonts w:ascii="Traditional Arabic" w:eastAsia="Times New Roman" w:hAnsi="Traditional Arabic" w:cs="Traditional Arabic" w:hint="cs"/>
          <w:color w:val="000000"/>
          <w:sz w:val="36"/>
          <w:szCs w:val="36"/>
          <w:rtl/>
          <w:lang w:eastAsia="ar-SA" w:bidi="ar-EG"/>
        </w:rPr>
        <w:t xml:space="preserve"> في اللغة: أسفل كل </w:t>
      </w:r>
      <w:proofErr w:type="spellStart"/>
      <w:r w:rsidRPr="00DB47BD">
        <w:rPr>
          <w:rFonts w:ascii="Traditional Arabic" w:eastAsia="Times New Roman" w:hAnsi="Traditional Arabic" w:cs="Traditional Arabic" w:hint="cs"/>
          <w:color w:val="000000"/>
          <w:sz w:val="36"/>
          <w:szCs w:val="36"/>
          <w:rtl/>
          <w:lang w:eastAsia="ar-SA" w:bidi="ar-EG"/>
        </w:rPr>
        <w:t>شئ</w:t>
      </w:r>
      <w:proofErr w:type="spellEnd"/>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10"/>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وقيل في تعريفه: </w:t>
      </w:r>
      <w:proofErr w:type="spellStart"/>
      <w:r w:rsidRPr="00DB47BD">
        <w:rPr>
          <w:rFonts w:ascii="Traditional Arabic" w:eastAsia="Times New Roman" w:hAnsi="Traditional Arabic" w:cs="Traditional Arabic" w:hint="cs"/>
          <w:color w:val="000000"/>
          <w:sz w:val="36"/>
          <w:szCs w:val="36"/>
          <w:rtl/>
          <w:lang w:eastAsia="ar-SA" w:bidi="ar-EG"/>
        </w:rPr>
        <w:t>مايبتنى</w:t>
      </w:r>
      <w:proofErr w:type="spellEnd"/>
      <w:r w:rsidRPr="00DB47BD">
        <w:rPr>
          <w:rFonts w:ascii="Traditional Arabic" w:eastAsia="Times New Roman" w:hAnsi="Traditional Arabic" w:cs="Traditional Arabic" w:hint="cs"/>
          <w:color w:val="000000"/>
          <w:sz w:val="36"/>
          <w:szCs w:val="36"/>
          <w:rtl/>
          <w:lang w:eastAsia="ar-SA" w:bidi="ar-EG"/>
        </w:rPr>
        <w:t xml:space="preserve"> عليه غيره، أو ما يثبت حكمه بنفسه</w:t>
      </w:r>
      <w:r w:rsidRPr="00DB47BD">
        <w:rPr>
          <w:rStyle w:val="a4"/>
          <w:rFonts w:ascii="Traditional Arabic" w:hAnsi="Traditional Arabic"/>
          <w:sz w:val="36"/>
          <w:szCs w:val="36"/>
          <w:rtl/>
        </w:rPr>
        <w:t xml:space="preserve"> (</w:t>
      </w:r>
      <w:r w:rsidRPr="00DB47BD">
        <w:rPr>
          <w:rStyle w:val="a4"/>
          <w:rFonts w:ascii="Traditional Arabic" w:hAnsi="Traditional Arabic"/>
          <w:sz w:val="36"/>
          <w:szCs w:val="36"/>
          <w:rtl/>
        </w:rPr>
        <w:footnoteReference w:id="11"/>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rPr>
      </w:pPr>
      <w:r w:rsidRPr="00DB47BD">
        <w:rPr>
          <w:rFonts w:ascii="Traditional Arabic" w:eastAsia="Times New Roman" w:hAnsi="Traditional Arabic" w:cs="Traditional Arabic" w:hint="cs"/>
          <w:color w:val="000000"/>
          <w:sz w:val="36"/>
          <w:szCs w:val="36"/>
          <w:rtl/>
          <w:lang w:eastAsia="ar-SA" w:bidi="ar-EG"/>
        </w:rPr>
        <w:t xml:space="preserve">والمقصود هنا بالأصل: </w:t>
      </w:r>
      <w:proofErr w:type="spellStart"/>
      <w:r w:rsidRPr="00DB47BD">
        <w:rPr>
          <w:rFonts w:ascii="Traditional Arabic" w:eastAsia="Times New Roman" w:hAnsi="Traditional Arabic" w:cs="Traditional Arabic" w:hint="cs"/>
          <w:color w:val="000000"/>
          <w:sz w:val="36"/>
          <w:szCs w:val="36"/>
          <w:rtl/>
          <w:lang w:eastAsia="ar-SA" w:bidi="ar-EG"/>
        </w:rPr>
        <w:t>مانشأ</w:t>
      </w:r>
      <w:proofErr w:type="spellEnd"/>
      <w:r w:rsidRPr="00DB47BD">
        <w:rPr>
          <w:rFonts w:ascii="Traditional Arabic" w:eastAsia="Times New Roman" w:hAnsi="Traditional Arabic" w:cs="Traditional Arabic" w:hint="cs"/>
          <w:color w:val="000000"/>
          <w:sz w:val="36"/>
          <w:szCs w:val="36"/>
          <w:rtl/>
          <w:lang w:eastAsia="ar-SA" w:bidi="ar-EG"/>
        </w:rPr>
        <w:t xml:space="preserve"> عليه </w:t>
      </w:r>
      <w:proofErr w:type="spellStart"/>
      <w:r w:rsidRPr="00DB47BD">
        <w:rPr>
          <w:rFonts w:ascii="Traditional Arabic" w:eastAsia="Times New Roman" w:hAnsi="Traditional Arabic" w:cs="Traditional Arabic" w:hint="cs"/>
          <w:color w:val="000000"/>
          <w:sz w:val="36"/>
          <w:szCs w:val="36"/>
          <w:rtl/>
          <w:lang w:eastAsia="ar-SA" w:bidi="ar-EG"/>
        </w:rPr>
        <w:t>الشئ</w:t>
      </w:r>
      <w:proofErr w:type="spellEnd"/>
      <w:r w:rsidRPr="00DB47BD">
        <w:rPr>
          <w:rFonts w:ascii="Traditional Arabic" w:eastAsia="Times New Roman" w:hAnsi="Traditional Arabic" w:cs="Traditional Arabic" w:hint="cs"/>
          <w:color w:val="000000"/>
          <w:sz w:val="36"/>
          <w:szCs w:val="36"/>
          <w:rtl/>
          <w:lang w:eastAsia="ar-SA" w:bidi="ar-EG"/>
        </w:rPr>
        <w:t xml:space="preserve"> في أصل خلقته، كما عبر عن ذلك الإمام </w:t>
      </w:r>
      <w:proofErr w:type="spellStart"/>
      <w:r w:rsidRPr="00DB47BD">
        <w:rPr>
          <w:rFonts w:ascii="Traditional Arabic" w:eastAsia="Times New Roman" w:hAnsi="Traditional Arabic" w:cs="Traditional Arabic" w:hint="cs"/>
          <w:color w:val="000000"/>
          <w:sz w:val="36"/>
          <w:szCs w:val="36"/>
          <w:rtl/>
          <w:lang w:eastAsia="ar-SA" w:bidi="ar-EG"/>
        </w:rPr>
        <w:t>الكاساني</w:t>
      </w:r>
      <w:proofErr w:type="spellEnd"/>
      <w:r w:rsidRPr="00DB47BD">
        <w:rPr>
          <w:rFonts w:ascii="Traditional Arabic" w:eastAsia="Times New Roman" w:hAnsi="Traditional Arabic" w:cs="Traditional Arabic" w:hint="cs"/>
          <w:color w:val="000000"/>
          <w:sz w:val="36"/>
          <w:szCs w:val="36"/>
          <w:rtl/>
          <w:lang w:eastAsia="ar-SA" w:bidi="ar-EG"/>
        </w:rPr>
        <w:t xml:space="preserve"> بقوله: "أصل الخلقة".</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12"/>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rPr>
        <w:t xml:space="preserve"> </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rPr>
      </w:pPr>
      <w:r w:rsidRPr="00DB47BD">
        <w:rPr>
          <w:rFonts w:ascii="Traditional Arabic" w:eastAsia="Times New Roman" w:hAnsi="Traditional Arabic" w:cs="Traditional Arabic" w:hint="cs"/>
          <w:color w:val="000000"/>
          <w:sz w:val="36"/>
          <w:szCs w:val="36"/>
          <w:rtl/>
          <w:lang w:eastAsia="ar-SA"/>
        </w:rPr>
        <w:t xml:space="preserve">فهي الحال المعروفة والمستقرة في أصل الإنسان في وجوده وفي خلقته وفيما عرف عنه مما هو عكس الأمور </w:t>
      </w:r>
      <w:proofErr w:type="gramStart"/>
      <w:r w:rsidRPr="00DB47BD">
        <w:rPr>
          <w:rFonts w:ascii="Traditional Arabic" w:eastAsia="Times New Roman" w:hAnsi="Traditional Arabic" w:cs="Traditional Arabic" w:hint="cs"/>
          <w:color w:val="000000"/>
          <w:sz w:val="36"/>
          <w:szCs w:val="36"/>
          <w:rtl/>
          <w:lang w:eastAsia="ar-SA"/>
        </w:rPr>
        <w:t>الطارئة :</w:t>
      </w:r>
      <w:proofErr w:type="gramEnd"/>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rPr>
      </w:pPr>
      <w:r w:rsidRPr="00DB47BD">
        <w:rPr>
          <w:rFonts w:ascii="Traditional Arabic" w:eastAsia="Times New Roman" w:hAnsi="Traditional Arabic" w:cs="Traditional Arabic" w:hint="cs"/>
          <w:color w:val="000000"/>
          <w:sz w:val="36"/>
          <w:szCs w:val="36"/>
          <w:rtl/>
          <w:lang w:eastAsia="ar-SA"/>
        </w:rPr>
        <w:t>فمثلا في العروض والعقار الأصل في تملكها أن يكون للقنية، والأصل في وجود الإنسان في مكان أنه مقيم غير مسافر، والسفر طارئ، والأصل في الحلي أنه للتجارة والقنية فيه أمر طارئ.</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المطلب الثاني: معنى القاعدة من حيث الإجمال مع بيانه بالمثال.</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أن النية -وهي قصد </w:t>
      </w:r>
      <w:proofErr w:type="spellStart"/>
      <w:r w:rsidRPr="00DB47BD">
        <w:rPr>
          <w:rFonts w:ascii="Traditional Arabic" w:eastAsia="Times New Roman" w:hAnsi="Traditional Arabic" w:cs="Traditional Arabic" w:hint="cs"/>
          <w:color w:val="000000"/>
          <w:sz w:val="36"/>
          <w:szCs w:val="36"/>
          <w:rtl/>
          <w:lang w:eastAsia="ar-SA" w:bidi="ar-EG"/>
        </w:rPr>
        <w:t>الشئ</w:t>
      </w:r>
      <w:proofErr w:type="spellEnd"/>
      <w:r w:rsidRPr="00DB47BD">
        <w:rPr>
          <w:rFonts w:ascii="Traditional Arabic" w:eastAsia="Times New Roman" w:hAnsi="Traditional Arabic" w:cs="Traditional Arabic" w:hint="cs"/>
          <w:color w:val="000000"/>
          <w:sz w:val="36"/>
          <w:szCs w:val="36"/>
          <w:rtl/>
          <w:lang w:eastAsia="ar-SA" w:bidi="ar-EG"/>
        </w:rPr>
        <w:t xml:space="preserve">- تعتبر شرعا سببا تتغير به صفة الحال، ومن ثم يتغير به الحكم، فإذا قصد الانتقال إلى صفة هي الأصل وهي الأمر المعروف والمستقر في أصل خلقة الإنسان فإن النية تكون سببا في انتقاله إلى هذا الوصف، وإذا أراد الانتقال إلى صفة طارئة </w:t>
      </w:r>
      <w:r w:rsidRPr="00DB47BD">
        <w:rPr>
          <w:rFonts w:ascii="Traditional Arabic" w:eastAsia="Times New Roman" w:hAnsi="Traditional Arabic" w:cs="Traditional Arabic" w:hint="cs"/>
          <w:color w:val="000000"/>
          <w:sz w:val="36"/>
          <w:szCs w:val="36"/>
          <w:rtl/>
          <w:lang w:eastAsia="ar-SA" w:bidi="ar-EG"/>
        </w:rPr>
        <w:lastRenderedPageBreak/>
        <w:t>ليست هي الأصل فإن النية تضعف عن ذلك.</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مثال ذلك: إذا كان لدى الإنسان عروض فهل توصف بأنها للتجارة أو للقنية، ثم يترتب على هذا الوصف حكم وجوب الزكاة من عدمه، فما يحوزه الإنسان من أثاث وعروض الأصل فيه أنها للاقتناء لا للبيع، هذا أصل خلقته فقصد الاتجار بها أمر طارئ، والأصل هو القنية، فهي تنقل إلى الأصل في مسألة زكاة عروض التجارة ولا تنقل من الأصل إلى غيره لأنها سبب ضعيف، فتحتاج أن يساندها ما يقويها من العمل، وهو في زكاة عروض التجارة: البيع والشراء.</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المطلب الثالث: نصوص الفقهاء الدالة على لفظها أو معناها</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نص على القاعدة المالكية وذكرها بمعناها: الشافعية والحنفية والحنابلة.</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قال ابن الحاجب: "والنية تنقل عرض التجارة إلى القنية، ولا تنقل القنية إلى التجارة"</w:t>
      </w:r>
      <w:r w:rsidRPr="00DB47BD">
        <w:rPr>
          <w:rStyle w:val="a4"/>
          <w:rFonts w:ascii="Traditional Arabic" w:hAnsi="Traditional Arabic"/>
          <w:sz w:val="36"/>
          <w:szCs w:val="36"/>
          <w:rtl/>
        </w:rPr>
        <w:t xml:space="preserve"> (</w:t>
      </w:r>
      <w:r w:rsidRPr="00DB47BD">
        <w:rPr>
          <w:rStyle w:val="a4"/>
          <w:rFonts w:ascii="Traditional Arabic" w:hAnsi="Traditional Arabic"/>
          <w:sz w:val="36"/>
          <w:szCs w:val="36"/>
          <w:rtl/>
        </w:rPr>
        <w:footnoteReference w:id="13"/>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قال خليل بن إسحاق المالكي: "</w:t>
      </w:r>
      <w:r w:rsidRPr="00DB47BD">
        <w:rPr>
          <w:rFonts w:ascii="Traditional Arabic" w:eastAsia="Times New Roman" w:hAnsi="Traditional Arabic" w:cs="Traditional Arabic" w:hint="cs"/>
          <w:color w:val="000000"/>
          <w:sz w:val="36"/>
          <w:szCs w:val="36"/>
          <w:u w:val="single"/>
          <w:rtl/>
          <w:lang w:eastAsia="ar-SA" w:bidi="ar-EG"/>
        </w:rPr>
        <w:t>لأن النية لما كانت سببا ضعيفا نقلت إلى الأصل ولم تنقل عنه</w:t>
      </w:r>
      <w:r w:rsidRPr="00DB47BD">
        <w:rPr>
          <w:rFonts w:ascii="Traditional Arabic" w:eastAsia="Times New Roman" w:hAnsi="Traditional Arabic" w:cs="Traditional Arabic" w:hint="cs"/>
          <w:color w:val="000000"/>
          <w:sz w:val="36"/>
          <w:szCs w:val="36"/>
          <w:rtl/>
          <w:lang w:eastAsia="ar-SA" w:bidi="ar-EG"/>
        </w:rPr>
        <w:t>"</w:t>
      </w:r>
      <w:r w:rsidRPr="00DB47BD">
        <w:rPr>
          <w:rStyle w:val="a4"/>
          <w:rFonts w:ascii="Traditional Arabic" w:hAnsi="Traditional Arabic"/>
          <w:sz w:val="36"/>
          <w:szCs w:val="36"/>
          <w:rtl/>
        </w:rPr>
        <w:t xml:space="preserve"> (</w:t>
      </w:r>
      <w:r w:rsidRPr="00DB47BD">
        <w:rPr>
          <w:rStyle w:val="a4"/>
          <w:rFonts w:ascii="Traditional Arabic" w:hAnsi="Traditional Arabic"/>
          <w:sz w:val="36"/>
          <w:szCs w:val="36"/>
          <w:rtl/>
        </w:rPr>
        <w:footnoteReference w:id="14"/>
      </w:r>
      <w:r w:rsidRPr="00DB47BD">
        <w:rPr>
          <w:rStyle w:val="a4"/>
          <w:rFonts w:ascii="Traditional Arabic" w:hAnsi="Traditional Arabic"/>
          <w:sz w:val="36"/>
          <w:szCs w:val="36"/>
          <w:rtl/>
        </w:rPr>
        <w:t>)</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قال الدسوقي: "(ولو كان) اشتراه (أولا للتجارة) ثم نوى به القنية فلا ينتقل عنها إلى التجارة ثانيا بالنية لأن </w:t>
      </w:r>
      <w:r w:rsidRPr="00DB47BD">
        <w:rPr>
          <w:rFonts w:ascii="Traditional Arabic" w:eastAsia="Times New Roman" w:hAnsi="Traditional Arabic" w:cs="Traditional Arabic" w:hint="cs"/>
          <w:color w:val="000000"/>
          <w:sz w:val="36"/>
          <w:szCs w:val="36"/>
          <w:u w:val="single"/>
          <w:rtl/>
          <w:lang w:eastAsia="ar-SA" w:bidi="ar-EG"/>
        </w:rPr>
        <w:t>النية سبب ضعيف تنقل إلى الأصل ولا تنقل عنه</w:t>
      </w:r>
      <w:r w:rsidRPr="00DB47BD">
        <w:rPr>
          <w:rFonts w:ascii="Traditional Arabic" w:eastAsia="Times New Roman" w:hAnsi="Traditional Arabic" w:cs="Traditional Arabic" w:hint="cs"/>
          <w:color w:val="000000"/>
          <w:sz w:val="36"/>
          <w:szCs w:val="36"/>
          <w:rtl/>
          <w:lang w:eastAsia="ar-SA" w:bidi="ar-EG"/>
        </w:rPr>
        <w:t>، والأصل في العروض القنية"</w:t>
      </w:r>
      <w:r w:rsidRPr="00DB47BD">
        <w:rPr>
          <w:rStyle w:val="a4"/>
          <w:rFonts w:ascii="Traditional Arabic" w:hAnsi="Traditional Arabic"/>
          <w:sz w:val="36"/>
          <w:szCs w:val="36"/>
          <w:rtl/>
        </w:rPr>
        <w:t xml:space="preserve"> (</w:t>
      </w:r>
      <w:r w:rsidRPr="00DB47BD">
        <w:rPr>
          <w:rStyle w:val="a4"/>
          <w:rFonts w:ascii="Traditional Arabic" w:hAnsi="Traditional Arabic"/>
          <w:sz w:val="36"/>
          <w:szCs w:val="36"/>
          <w:rtl/>
        </w:rPr>
        <w:footnoteReference w:id="15"/>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وقال </w:t>
      </w:r>
      <w:proofErr w:type="spellStart"/>
      <w:r w:rsidRPr="00DB47BD">
        <w:rPr>
          <w:rFonts w:ascii="Traditional Arabic" w:eastAsia="Times New Roman" w:hAnsi="Traditional Arabic" w:cs="Traditional Arabic" w:hint="cs"/>
          <w:color w:val="000000"/>
          <w:sz w:val="36"/>
          <w:szCs w:val="36"/>
          <w:rtl/>
          <w:lang w:eastAsia="ar-SA" w:bidi="ar-EG"/>
        </w:rPr>
        <w:t>الكاساني</w:t>
      </w:r>
      <w:proofErr w:type="spellEnd"/>
      <w:r w:rsidRPr="00DB47BD">
        <w:rPr>
          <w:rFonts w:ascii="Traditional Arabic" w:eastAsia="Times New Roman" w:hAnsi="Traditional Arabic" w:cs="Traditional Arabic" w:hint="cs"/>
          <w:color w:val="000000"/>
          <w:sz w:val="36"/>
          <w:szCs w:val="36"/>
          <w:rtl/>
          <w:lang w:eastAsia="ar-SA" w:bidi="ar-EG"/>
        </w:rPr>
        <w:t xml:space="preserve"> الحنفي: "وأما صفة هذا النصاب فهي أن يكون معدا للتجارة: وهو أن يمسكها للتجارة، وذلك بنية التجارة، مقارنة لعمل التجارة، قال: بخلاف الذهب والفضة فإنهما </w:t>
      </w:r>
      <w:proofErr w:type="spellStart"/>
      <w:r w:rsidRPr="00DB47BD">
        <w:rPr>
          <w:rFonts w:ascii="Traditional Arabic" w:eastAsia="Times New Roman" w:hAnsi="Traditional Arabic" w:cs="Traditional Arabic" w:hint="cs"/>
          <w:color w:val="000000"/>
          <w:sz w:val="36"/>
          <w:szCs w:val="36"/>
          <w:rtl/>
          <w:lang w:eastAsia="ar-SA" w:bidi="ar-EG"/>
        </w:rPr>
        <w:t>لايحتاج</w:t>
      </w:r>
      <w:proofErr w:type="spellEnd"/>
      <w:r w:rsidRPr="00DB47BD">
        <w:rPr>
          <w:rFonts w:ascii="Traditional Arabic" w:eastAsia="Times New Roman" w:hAnsi="Traditional Arabic" w:cs="Traditional Arabic" w:hint="cs"/>
          <w:color w:val="000000"/>
          <w:sz w:val="36"/>
          <w:szCs w:val="36"/>
          <w:rtl/>
          <w:lang w:eastAsia="ar-SA" w:bidi="ar-EG"/>
        </w:rPr>
        <w:t xml:space="preserve"> فيهما إلى نية التجارة، لأنها معدة للتجارة بأصل الخلقة".</w:t>
      </w:r>
      <w:bookmarkStart w:id="1" w:name="_Hlk115691201"/>
      <w:r w:rsidRPr="00DB47BD">
        <w:rPr>
          <w:rStyle w:val="a4"/>
          <w:rFonts w:ascii="Traditional Arabic" w:hAnsi="Traditional Arabic"/>
          <w:sz w:val="36"/>
          <w:szCs w:val="36"/>
          <w:rtl/>
        </w:rPr>
        <w:t xml:space="preserve"> </w:t>
      </w:r>
      <w:bookmarkStart w:id="2" w:name="_Hlk116743204"/>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16"/>
      </w:r>
      <w:r w:rsidRPr="00DB47BD">
        <w:rPr>
          <w:rStyle w:val="a4"/>
          <w:rFonts w:ascii="Traditional Arabic" w:hAnsi="Traditional Arabic"/>
          <w:sz w:val="36"/>
          <w:szCs w:val="36"/>
          <w:rtl/>
        </w:rPr>
        <w:t>)</w:t>
      </w:r>
      <w:bookmarkEnd w:id="1"/>
      <w:bookmarkEnd w:id="2"/>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وقال النووي: "ويصير عرض التجارة للقنية بنيتها، وإنما يصير العرض للتجارة إذا اقترنت نيتها بكسبه بمعاوضة كشراء".</w:t>
      </w:r>
      <w:r w:rsidRPr="00DB47BD">
        <w:rPr>
          <w:rStyle w:val="a4"/>
          <w:rFonts w:ascii="Traditional Arabic" w:hAnsi="Traditional Arabic"/>
          <w:sz w:val="36"/>
          <w:szCs w:val="36"/>
          <w:rtl/>
        </w:rPr>
        <w:t xml:space="preserve"> (</w:t>
      </w:r>
      <w:r w:rsidRPr="00DB47BD">
        <w:rPr>
          <w:rStyle w:val="a4"/>
          <w:rFonts w:ascii="Traditional Arabic" w:hAnsi="Traditional Arabic"/>
          <w:sz w:val="36"/>
          <w:szCs w:val="36"/>
          <w:rtl/>
        </w:rPr>
        <w:footnoteReference w:id="17"/>
      </w:r>
      <w:r w:rsidRPr="00DB47BD">
        <w:rPr>
          <w:rStyle w:val="a4"/>
          <w:rFonts w:ascii="Traditional Arabic" w:hAnsi="Traditional Arabic"/>
          <w:sz w:val="36"/>
          <w:szCs w:val="36"/>
          <w:rtl/>
        </w:rPr>
        <w:t>)</w:t>
      </w:r>
      <w:r w:rsidRPr="00DB47BD">
        <w:rPr>
          <w:rFonts w:ascii="Traditional Arabic" w:hAnsi="Traditional Arabic" w:hint="cs"/>
          <w:sz w:val="36"/>
          <w:szCs w:val="36"/>
          <w:rtl/>
        </w:rPr>
        <w:t xml:space="preserve"> </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وقال الزركشي الشافعي: "النية القاطعة تؤثر في مواضع بمجردها من غير توقف على الفعل القاطع، قال: الثاني: أن يعضدها أصل، كالمسافر ينوي الإقامة يصير مقيما بمجرد </w:t>
      </w:r>
      <w:r w:rsidRPr="00DB47BD">
        <w:rPr>
          <w:rFonts w:ascii="Traditional Arabic" w:eastAsia="Times New Roman" w:hAnsi="Traditional Arabic" w:cs="Traditional Arabic" w:hint="cs"/>
          <w:color w:val="000000"/>
          <w:sz w:val="36"/>
          <w:szCs w:val="36"/>
          <w:rtl/>
          <w:lang w:eastAsia="ar-SA" w:bidi="ar-EG"/>
        </w:rPr>
        <w:lastRenderedPageBreak/>
        <w:t xml:space="preserve">النية، لأنها الأصل بخلاف السفر لا يحصل إلا بالنية والفعل، لأن الأصل الإقامة والسفر </w:t>
      </w:r>
      <w:proofErr w:type="spellStart"/>
      <w:r w:rsidRPr="00DB47BD">
        <w:rPr>
          <w:rFonts w:ascii="Traditional Arabic" w:eastAsia="Times New Roman" w:hAnsi="Traditional Arabic" w:cs="Traditional Arabic" w:hint="cs"/>
          <w:color w:val="000000"/>
          <w:sz w:val="36"/>
          <w:szCs w:val="36"/>
          <w:rtl/>
          <w:lang w:eastAsia="ar-SA" w:bidi="ar-EG"/>
        </w:rPr>
        <w:t>طاريء</w:t>
      </w:r>
      <w:proofErr w:type="spellEnd"/>
      <w:r w:rsidRPr="00DB47BD">
        <w:rPr>
          <w:rFonts w:ascii="Traditional Arabic" w:eastAsia="Times New Roman" w:hAnsi="Traditional Arabic" w:cs="Traditional Arabic" w:hint="cs"/>
          <w:color w:val="000000"/>
          <w:sz w:val="36"/>
          <w:szCs w:val="36"/>
          <w:rtl/>
          <w:lang w:eastAsia="ar-SA" w:bidi="ar-EG"/>
        </w:rPr>
        <w:t>، فلا يكفي فيه مجرد النية. ثم قال: ونظير ذلك في زكاة التجارة: عود العروض إلى القنية بمجرد النية، ولا تعود إلى التجارة بمجرد النية لأن الأصل في السلع القنية لا التجارة"</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18"/>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وقال ابن قدامة: "وإذا صار العرض للقنية بنيتها فنوى التجارة لم يصر للتجارة بمجرد النية، وقال: إن القنية الأصل، ويكفي في الرد إلى الأصل مجرد النية".</w:t>
      </w:r>
      <w:bookmarkStart w:id="3" w:name="_Hlk118317365"/>
      <w:r w:rsidRPr="00DB47BD">
        <w:rPr>
          <w:rStyle w:val="a4"/>
          <w:rFonts w:ascii="Traditional Arabic" w:hAnsi="Traditional Arabic"/>
          <w:sz w:val="36"/>
          <w:szCs w:val="36"/>
          <w:rtl/>
        </w:rPr>
        <w:t xml:space="preserve"> (</w:t>
      </w:r>
      <w:r w:rsidRPr="00DB47BD">
        <w:rPr>
          <w:rStyle w:val="a4"/>
          <w:rFonts w:ascii="Traditional Arabic" w:hAnsi="Traditional Arabic"/>
          <w:sz w:val="36"/>
          <w:szCs w:val="36"/>
          <w:rtl/>
        </w:rPr>
        <w:footnoteReference w:id="19"/>
      </w:r>
      <w:r w:rsidRPr="00DB47BD">
        <w:rPr>
          <w:rStyle w:val="a4"/>
          <w:rFonts w:ascii="Traditional Arabic" w:hAnsi="Traditional Arabic"/>
          <w:sz w:val="36"/>
          <w:szCs w:val="36"/>
          <w:rtl/>
        </w:rPr>
        <w:t>)</w:t>
      </w:r>
      <w:bookmarkEnd w:id="3"/>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 xml:space="preserve">المطلب الرابع: أدلة القاعدة </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هذه القاعدة التي  هي محل الدراسة تندرج تحت قاعدة (الأمور بمقاصدها) كإحدى القواعد المقيدة لها، لكونها تنقل إلى الأصل فيعمل النية وإذا أراد الانتقال إلى غير الأصل أهملها وفي إهمالها تقييد لها، و(الأمور بمقاصدها) هي قاعدة من القواعد الكبرى الكلية المتفق عليها في كل المذاهب والاستدلال لقاعدة البحث هو فرع عن الاستدلال للقاعدة الكلية الكبرى قال الشيخ عبدالله بن غديان رحمه الله: "وكل قاعدة من القواعد الفقهية لابد أن يلتمس لها طالب العلم أصلا، وقد يكفي من الأدلة دليل واحد، يكون أصلا للقاعدة، وقد تتضافر الأدلة من القرآن والسنة على هذه القاعدة، وعندما تبحث ولا تجد دليلا يدلل على تقرير هذه القاعدة فإنك تنظر إلى القاعدة الأصلية التي يمكن أن تكون هذه القاعدة متفرعة عنها ومندرجة تحتها".</w:t>
      </w:r>
      <w:r w:rsidRPr="00DB47BD">
        <w:rPr>
          <w:rStyle w:val="a4"/>
          <w:rFonts w:ascii="Traditional Arabic" w:hAnsi="Traditional Arabic"/>
          <w:sz w:val="36"/>
          <w:szCs w:val="36"/>
          <w:rtl/>
        </w:rPr>
        <w:t xml:space="preserve"> (</w:t>
      </w:r>
      <w:r w:rsidRPr="00DB47BD">
        <w:rPr>
          <w:rStyle w:val="a4"/>
          <w:rFonts w:ascii="Traditional Arabic" w:hAnsi="Traditional Arabic"/>
          <w:sz w:val="36"/>
          <w:szCs w:val="36"/>
          <w:rtl/>
        </w:rPr>
        <w:footnoteReference w:id="20"/>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xml:space="preserve"> </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فمن الأدلة: </w:t>
      </w:r>
    </w:p>
    <w:p w:rsidR="00CA4869" w:rsidRPr="00DB47BD" w:rsidRDefault="00CA4869" w:rsidP="00CA4869">
      <w:pPr>
        <w:pStyle w:val="a5"/>
        <w:widowControl w:val="0"/>
        <w:numPr>
          <w:ilvl w:val="0"/>
          <w:numId w:val="4"/>
        </w:numPr>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حديث عمر بن الخطاب عن النبي صلى الله عليه وسلم قال: "إنما الأعمال بالنيات وإنما لكل </w:t>
      </w:r>
      <w:proofErr w:type="spellStart"/>
      <w:r w:rsidRPr="00DB47BD">
        <w:rPr>
          <w:rFonts w:ascii="Traditional Arabic" w:eastAsia="Times New Roman" w:hAnsi="Traditional Arabic" w:cs="Traditional Arabic" w:hint="cs"/>
          <w:color w:val="000000"/>
          <w:sz w:val="36"/>
          <w:szCs w:val="36"/>
          <w:rtl/>
          <w:lang w:eastAsia="ar-SA" w:bidi="ar-EG"/>
        </w:rPr>
        <w:t>امريء</w:t>
      </w:r>
      <w:proofErr w:type="spellEnd"/>
      <w:r w:rsidRPr="00DB47BD">
        <w:rPr>
          <w:rFonts w:ascii="Traditional Arabic" w:eastAsia="Times New Roman" w:hAnsi="Traditional Arabic" w:cs="Traditional Arabic" w:hint="cs"/>
          <w:color w:val="000000"/>
          <w:sz w:val="36"/>
          <w:szCs w:val="36"/>
          <w:rtl/>
          <w:lang w:eastAsia="ar-SA" w:bidi="ar-EG"/>
        </w:rPr>
        <w:t xml:space="preserve"> </w:t>
      </w:r>
      <w:proofErr w:type="spellStart"/>
      <w:r w:rsidRPr="00DB47BD">
        <w:rPr>
          <w:rFonts w:ascii="Traditional Arabic" w:eastAsia="Times New Roman" w:hAnsi="Traditional Arabic" w:cs="Traditional Arabic" w:hint="cs"/>
          <w:color w:val="000000"/>
          <w:sz w:val="36"/>
          <w:szCs w:val="36"/>
          <w:rtl/>
          <w:lang w:eastAsia="ar-SA" w:bidi="ar-EG"/>
        </w:rPr>
        <w:t>مانوى</w:t>
      </w:r>
      <w:proofErr w:type="spellEnd"/>
      <w:r w:rsidRPr="00DB47BD">
        <w:rPr>
          <w:rFonts w:ascii="Traditional Arabic" w:eastAsia="Times New Roman" w:hAnsi="Traditional Arabic" w:cs="Traditional Arabic" w:hint="cs"/>
          <w:color w:val="000000"/>
          <w:sz w:val="36"/>
          <w:szCs w:val="36"/>
          <w:rtl/>
          <w:lang w:eastAsia="ar-SA" w:bidi="ar-EG"/>
        </w:rPr>
        <w:t>".</w:t>
      </w:r>
      <w:bookmarkStart w:id="4" w:name="_Hlk116727589"/>
      <w:r w:rsidRPr="00DB47BD">
        <w:rPr>
          <w:rStyle w:val="a4"/>
          <w:rFonts w:ascii="Traditional Arabic" w:hAnsi="Traditional Arabic"/>
          <w:sz w:val="36"/>
          <w:szCs w:val="36"/>
          <w:rtl/>
        </w:rPr>
        <w:t xml:space="preserve"> (</w:t>
      </w:r>
      <w:r w:rsidRPr="00DB47BD">
        <w:rPr>
          <w:rStyle w:val="a4"/>
          <w:rFonts w:ascii="Traditional Arabic" w:hAnsi="Traditional Arabic"/>
          <w:sz w:val="36"/>
          <w:szCs w:val="36"/>
          <w:rtl/>
        </w:rPr>
        <w:footnoteReference w:id="21"/>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xml:space="preserve"> </w:t>
      </w:r>
      <w:bookmarkEnd w:id="4"/>
      <w:r w:rsidRPr="00DB47BD">
        <w:rPr>
          <w:rFonts w:ascii="Traditional Arabic" w:eastAsia="Times New Roman" w:hAnsi="Traditional Arabic" w:cs="Traditional Arabic" w:hint="cs"/>
          <w:color w:val="000000"/>
          <w:sz w:val="36"/>
          <w:szCs w:val="36"/>
          <w:rtl/>
          <w:lang w:eastAsia="ar-SA" w:bidi="ar-EG"/>
        </w:rPr>
        <w:t xml:space="preserve">وغيره من الأدلة المذكورة في </w:t>
      </w:r>
      <w:proofErr w:type="spellStart"/>
      <w:r w:rsidRPr="00DB47BD">
        <w:rPr>
          <w:rFonts w:ascii="Traditional Arabic" w:eastAsia="Times New Roman" w:hAnsi="Traditional Arabic" w:cs="Traditional Arabic" w:hint="cs"/>
          <w:color w:val="000000"/>
          <w:sz w:val="36"/>
          <w:szCs w:val="36"/>
          <w:rtl/>
          <w:lang w:eastAsia="ar-SA" w:bidi="ar-EG"/>
        </w:rPr>
        <w:t>مظآنها</w:t>
      </w:r>
      <w:proofErr w:type="spellEnd"/>
      <w:r w:rsidRPr="00DB47BD">
        <w:rPr>
          <w:rFonts w:ascii="Traditional Arabic" w:eastAsia="Times New Roman" w:hAnsi="Traditional Arabic" w:cs="Traditional Arabic" w:hint="cs"/>
          <w:color w:val="000000"/>
          <w:sz w:val="36"/>
          <w:szCs w:val="36"/>
          <w:rtl/>
          <w:lang w:eastAsia="ar-SA" w:bidi="ar-EG"/>
        </w:rPr>
        <w:t xml:space="preserve"> كما لا يخفى.</w:t>
      </w:r>
    </w:p>
    <w:p w:rsidR="00CA4869" w:rsidRPr="00DB47BD" w:rsidRDefault="00CA4869" w:rsidP="00CA4869">
      <w:pPr>
        <w:pStyle w:val="a5"/>
        <w:widowControl w:val="0"/>
        <w:numPr>
          <w:ilvl w:val="0"/>
          <w:numId w:val="4"/>
        </w:numPr>
        <w:spacing w:after="0" w:line="240" w:lineRule="auto"/>
        <w:jc w:val="lowKashida"/>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ومن الأدلة على ضعف النية حديث أبي هريرة عن النبي صلى الله عليه وسلم </w:t>
      </w:r>
      <w:r w:rsidRPr="00DB47BD">
        <w:rPr>
          <w:rFonts w:ascii="Traditional Arabic" w:eastAsia="Times New Roman" w:hAnsi="Traditional Arabic" w:cs="Traditional Arabic"/>
          <w:color w:val="000000"/>
          <w:sz w:val="36"/>
          <w:szCs w:val="36"/>
          <w:rtl/>
          <w:lang w:eastAsia="ar-SA" w:bidi="ar-EG"/>
        </w:rPr>
        <w:lastRenderedPageBreak/>
        <w:t>قال: "</w:t>
      </w:r>
      <w:r w:rsidRPr="00DB47BD">
        <w:rPr>
          <w:rFonts w:ascii="Traditional Arabic" w:hAnsi="Traditional Arabic" w:cs="Traditional Arabic"/>
          <w:color w:val="444444"/>
          <w:sz w:val="36"/>
          <w:szCs w:val="36"/>
          <w:shd w:val="clear" w:color="auto" w:fill="FFFFFF"/>
          <w:rtl/>
        </w:rPr>
        <w:t xml:space="preserve"> إن الله تجاوز لأمتي ما حدثت به أنفسها ما لم يتكلموا أو يعملوا به</w:t>
      </w:r>
      <w:r w:rsidRPr="00DB47BD">
        <w:rPr>
          <w:rFonts w:ascii="Traditional Arabic" w:eastAsia="Times New Roman" w:hAnsi="Traditional Arabic" w:cs="Traditional Arabic"/>
          <w:color w:val="000000"/>
          <w:sz w:val="36"/>
          <w:szCs w:val="36"/>
          <w:rtl/>
          <w:lang w:eastAsia="ar-SA"/>
        </w:rPr>
        <w:t>".</w:t>
      </w:r>
      <w:r w:rsidRPr="00DB47BD">
        <w:rPr>
          <w:rStyle w:val="a4"/>
          <w:rFonts w:ascii="Traditional Arabic" w:hAnsi="Traditional Arabic"/>
          <w:sz w:val="36"/>
          <w:szCs w:val="36"/>
          <w:rtl/>
        </w:rPr>
        <w:t xml:space="preserve"> (</w:t>
      </w:r>
      <w:r w:rsidRPr="00DB47BD">
        <w:rPr>
          <w:rStyle w:val="a4"/>
          <w:rFonts w:ascii="Traditional Arabic" w:hAnsi="Traditional Arabic"/>
          <w:sz w:val="36"/>
          <w:szCs w:val="36"/>
          <w:rtl/>
        </w:rPr>
        <w:footnoteReference w:id="22"/>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xml:space="preserve"> </w:t>
      </w:r>
    </w:p>
    <w:p w:rsidR="00CA4869" w:rsidRPr="00DB47BD" w:rsidRDefault="00CA4869" w:rsidP="00CA4869">
      <w:pPr>
        <w:pStyle w:val="a5"/>
        <w:widowControl w:val="0"/>
        <w:spacing w:after="0" w:line="240" w:lineRule="auto"/>
        <w:ind w:left="117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ووجه الدلالة: أن حديث النفس في معنى النية والشارع اعتبره ضعيفا فقد تجاوز الله عنه فلا يؤاخذ به، بخلاف القول والعمل فإنه يؤاخذ عليها، فدل ذلك على ضعفها. </w:t>
      </w:r>
    </w:p>
    <w:p w:rsidR="00CA4869" w:rsidRPr="00DB47BD" w:rsidRDefault="00CA4869" w:rsidP="00CA4869">
      <w:pPr>
        <w:pStyle w:val="a5"/>
        <w:widowControl w:val="0"/>
        <w:numPr>
          <w:ilvl w:val="0"/>
          <w:numId w:val="4"/>
        </w:numPr>
        <w:spacing w:after="0" w:line="240" w:lineRule="auto"/>
        <w:jc w:val="lowKashida"/>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ويستدل لها أيضا بقاعدة: (الأصل في الأمور الطارئة العدم)، وذلك أن الأصل هو عدم الأمور الطارئة، فالتجارة طارئة والأصل فيها العدم، لأن الأصل في العروض أن يشتريه المشتري للاقتناء. </w:t>
      </w:r>
    </w:p>
    <w:p w:rsidR="00CA4869" w:rsidRPr="00DB47BD" w:rsidRDefault="00CA4869" w:rsidP="00CA4869">
      <w:pPr>
        <w:widowControl w:val="0"/>
        <w:spacing w:after="0" w:line="240" w:lineRule="auto"/>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المطلب الخامس: قواعد متفرعة عن القاعدة:</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فمن ذلك:</w:t>
      </w:r>
    </w:p>
    <w:p w:rsidR="00CA4869" w:rsidRPr="00DB47BD" w:rsidRDefault="00CA4869" w:rsidP="00CA4869">
      <w:pPr>
        <w:widowControl w:val="0"/>
        <w:spacing w:after="0" w:line="240" w:lineRule="auto"/>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 xml:space="preserve">القاعدة الأولى: "في الرد إلى الأصل يكفي مجرد النية" </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كعروض التجارة إذا نوى بها القنية انتقلت إليها مباشرة دون عمل لأن الأصل في العروض هو القنية. وهذه نص عليها ابن قدامة في معرض الاستدلال.</w:t>
      </w:r>
      <w:r w:rsidRPr="00DB47BD">
        <w:rPr>
          <w:rStyle w:val="a4"/>
          <w:rFonts w:ascii="Traditional Arabic" w:hAnsi="Traditional Arabic"/>
          <w:sz w:val="36"/>
          <w:szCs w:val="36"/>
          <w:rtl/>
        </w:rPr>
        <w:t xml:space="preserve"> (</w:t>
      </w:r>
      <w:r w:rsidRPr="00DB47BD">
        <w:rPr>
          <w:rStyle w:val="a4"/>
          <w:rFonts w:ascii="Traditional Arabic" w:hAnsi="Traditional Arabic"/>
          <w:sz w:val="36"/>
          <w:szCs w:val="36"/>
          <w:rtl/>
        </w:rPr>
        <w:footnoteReference w:id="23"/>
      </w:r>
      <w:r w:rsidRPr="00DB47BD">
        <w:rPr>
          <w:rStyle w:val="a4"/>
          <w:rFonts w:ascii="Traditional Arabic" w:hAnsi="Traditional Arabic"/>
          <w:sz w:val="36"/>
          <w:szCs w:val="36"/>
          <w:rtl/>
        </w:rPr>
        <w:t>)</w:t>
      </w:r>
    </w:p>
    <w:p w:rsidR="00CA4869" w:rsidRPr="00DB47BD" w:rsidRDefault="00CA4869" w:rsidP="00CA4869">
      <w:pPr>
        <w:widowControl w:val="0"/>
        <w:spacing w:after="0" w:line="240" w:lineRule="auto"/>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 xml:space="preserve">القاعدة </w:t>
      </w:r>
      <w:proofErr w:type="spellStart"/>
      <w:r w:rsidRPr="00DB47BD">
        <w:rPr>
          <w:rFonts w:ascii="Traditional Arabic" w:eastAsia="Times New Roman" w:hAnsi="Traditional Arabic" w:cs="Traditional Arabic" w:hint="cs"/>
          <w:b/>
          <w:bCs/>
          <w:color w:val="000000"/>
          <w:sz w:val="36"/>
          <w:szCs w:val="36"/>
          <w:rtl/>
          <w:lang w:eastAsia="ar-SA" w:bidi="ar-EG"/>
        </w:rPr>
        <w:t>الثانية:"في</w:t>
      </w:r>
      <w:proofErr w:type="spellEnd"/>
      <w:r w:rsidRPr="00DB47BD">
        <w:rPr>
          <w:rFonts w:ascii="Traditional Arabic" w:eastAsia="Times New Roman" w:hAnsi="Traditional Arabic" w:cs="Traditional Arabic" w:hint="cs"/>
          <w:b/>
          <w:bCs/>
          <w:color w:val="000000"/>
          <w:sz w:val="36"/>
          <w:szCs w:val="36"/>
          <w:rtl/>
          <w:lang w:eastAsia="ar-SA" w:bidi="ar-EG"/>
        </w:rPr>
        <w:t xml:space="preserve"> الرد إلى غير الأصل لابد وأن يقارن النية العمل ".</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فعروض القنية إذا باع بها واشترى ونيته الربح والنماء والاستثمار وتكوين رأس مال ربحي، فإنه يكون للتجارة وفيه زكاة عروض التجارة لأنه اقترن بها عمل وعندها يصح أن تنقل النية من الأصل -وهو القنية- إلى التجارة.</w:t>
      </w:r>
      <w:r w:rsidRPr="00DB47BD">
        <w:rPr>
          <w:rFonts w:ascii="Traditional Arabic" w:eastAsia="Times New Roman" w:hAnsi="Traditional Arabic" w:cs="Traditional Arabic"/>
          <w:color w:val="000000"/>
          <w:sz w:val="36"/>
          <w:szCs w:val="36"/>
          <w:rtl/>
          <w:lang w:eastAsia="ar-SA" w:bidi="ar-EG"/>
        </w:rPr>
        <w:t xml:space="preserve"> قال أبو الوليد الباجي المالكي: "إن ابتاعه مع نية التجارة فقد اجتمع العمل والنية</w:t>
      </w:r>
      <w:r w:rsidRPr="00DB47BD">
        <w:rPr>
          <w:rFonts w:ascii="Traditional Arabic" w:eastAsia="Times New Roman" w:hAnsi="Traditional Arabic" w:cs="Traditional Arabic" w:hint="cs"/>
          <w:color w:val="000000"/>
          <w:sz w:val="36"/>
          <w:szCs w:val="36"/>
          <w:rtl/>
          <w:lang w:eastAsia="ar-SA" w:bidi="ar-EG"/>
        </w:rPr>
        <w:t>،</w:t>
      </w:r>
      <w:r w:rsidRPr="00DB47BD">
        <w:rPr>
          <w:rFonts w:ascii="Traditional Arabic" w:eastAsia="Times New Roman" w:hAnsi="Traditional Arabic" w:cs="Traditional Arabic"/>
          <w:color w:val="000000"/>
          <w:sz w:val="36"/>
          <w:szCs w:val="36"/>
          <w:rtl/>
          <w:lang w:eastAsia="ar-SA" w:bidi="ar-EG"/>
        </w:rPr>
        <w:t xml:space="preserve"> ففيه الزكاة</w:t>
      </w:r>
      <w:r w:rsidRPr="00DB47BD">
        <w:rPr>
          <w:rFonts w:ascii="Traditional Arabic" w:eastAsia="Times New Roman" w:hAnsi="Traditional Arabic" w:cs="Traditional Arabic" w:hint="cs"/>
          <w:color w:val="000000"/>
          <w:sz w:val="36"/>
          <w:szCs w:val="36"/>
          <w:rtl/>
          <w:lang w:eastAsia="ar-SA" w:bidi="ar-EG"/>
        </w:rPr>
        <w:t>،</w:t>
      </w:r>
      <w:r w:rsidRPr="00DB47BD">
        <w:rPr>
          <w:rFonts w:ascii="Traditional Arabic" w:eastAsia="Times New Roman" w:hAnsi="Traditional Arabic" w:cs="Traditional Arabic"/>
          <w:color w:val="000000"/>
          <w:sz w:val="36"/>
          <w:szCs w:val="36"/>
          <w:rtl/>
          <w:lang w:eastAsia="ar-SA" w:bidi="ar-EG"/>
        </w:rPr>
        <w:t xml:space="preserve"> والعمل المؤثر في ذلك الابتياع</w:t>
      </w:r>
      <w:r w:rsidRPr="00DB47BD">
        <w:rPr>
          <w:rFonts w:ascii="Traditional Arabic" w:eastAsia="Times New Roman" w:hAnsi="Traditional Arabic" w:cs="Traditional Arabic" w:hint="cs"/>
          <w:color w:val="000000"/>
          <w:sz w:val="36"/>
          <w:szCs w:val="36"/>
          <w:rtl/>
          <w:lang w:eastAsia="ar-SA" w:bidi="ar-EG"/>
        </w:rPr>
        <w:t>"</w:t>
      </w:r>
      <w:r w:rsidRPr="00DB47BD">
        <w:rPr>
          <w:rFonts w:ascii="Traditional Arabic" w:eastAsia="Times New Roman" w:hAnsi="Traditional Arabic" w:cs="Traditional Arabic"/>
          <w:color w:val="000000"/>
          <w:sz w:val="36"/>
          <w:szCs w:val="36"/>
          <w:rtl/>
          <w:lang w:eastAsia="ar-SA" w:bidi="ar-EG"/>
        </w:rPr>
        <w:t>.</w:t>
      </w:r>
      <w:r w:rsidRPr="00DB47BD">
        <w:rPr>
          <w:rStyle w:val="a4"/>
          <w:rFonts w:hint="cs"/>
          <w:sz w:val="36"/>
          <w:szCs w:val="36"/>
          <w:rtl/>
          <w:lang w:bidi="ar-EG"/>
        </w:rPr>
        <w:t xml:space="preserve"> </w:t>
      </w:r>
      <w:r w:rsidRPr="00DB47BD">
        <w:rPr>
          <w:rStyle w:val="a4"/>
          <w:rFonts w:hint="cs"/>
          <w:sz w:val="36"/>
          <w:szCs w:val="36"/>
          <w:rtl/>
        </w:rPr>
        <w:t>(</w:t>
      </w:r>
      <w:r w:rsidRPr="00DB47BD">
        <w:rPr>
          <w:rStyle w:val="a4"/>
          <w:sz w:val="36"/>
          <w:szCs w:val="36"/>
          <w:rtl/>
        </w:rPr>
        <w:footnoteReference w:id="24"/>
      </w:r>
      <w:r w:rsidRPr="00DB47BD">
        <w:rPr>
          <w:rStyle w:val="a4"/>
          <w:rFonts w:hint="cs"/>
          <w:sz w:val="36"/>
          <w:szCs w:val="36"/>
          <w:rtl/>
        </w:rPr>
        <w:t>)</w:t>
      </w:r>
      <w:r w:rsidRPr="00DB47BD">
        <w:rPr>
          <w:rFonts w:ascii="Traditional Arabic" w:eastAsia="Times New Roman" w:hAnsi="Traditional Arabic" w:cs="Traditional Arabic" w:hint="cs"/>
          <w:color w:val="000000"/>
          <w:sz w:val="36"/>
          <w:szCs w:val="36"/>
          <w:rtl/>
          <w:lang w:eastAsia="ar-SA" w:bidi="ar-EG"/>
        </w:rPr>
        <w:t xml:space="preserve">  </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المبحث الثاني: أثر القاعدة في الأحكام الشرعية: وفيه خمسة مطالب:</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 xml:space="preserve">المطلب الأول: أثر القاعدة في زكاة عروض التجارة: وفيه مسائل: </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تمهيد في بيان معنى مصطلحات تتعلق بزكاة العروض.</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أولا: معنى عروض التجارة:</w:t>
      </w:r>
      <w:r w:rsidRPr="00DB47BD">
        <w:rPr>
          <w:rFonts w:ascii="Traditional Arabic" w:eastAsia="Times New Roman" w:hAnsi="Traditional Arabic" w:cs="Traditional Arabic" w:hint="cs"/>
          <w:color w:val="000000"/>
          <w:sz w:val="36"/>
          <w:szCs w:val="36"/>
          <w:rtl/>
          <w:lang w:eastAsia="ar-SA" w:bidi="ar-EG"/>
        </w:rPr>
        <w:t xml:space="preserve"> "العرض -بالتحريك- متاع الدنيا وحطامها، وأما العرض -بسكون الراء-: فما خالف الثمنين -الدراهم والدنانير- من متاع الدنيا وأثاثها، وجمعه عُرُوض قال الجوهري: العرض المتاع وكل شيء فهو عرض سوى الدراهم والدنانير فإنهما عين".</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25"/>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xml:space="preserve"> </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أما "العَرَض -بفتحتين</w:t>
      </w:r>
      <w:proofErr w:type="gramStart"/>
      <w:r w:rsidRPr="00DB47BD">
        <w:rPr>
          <w:rFonts w:ascii="Traditional Arabic" w:eastAsia="Times New Roman" w:hAnsi="Traditional Arabic" w:cs="Traditional Arabic" w:hint="cs"/>
          <w:color w:val="000000"/>
          <w:sz w:val="36"/>
          <w:szCs w:val="36"/>
          <w:rtl/>
          <w:lang w:eastAsia="ar-SA" w:bidi="ar-EG"/>
        </w:rPr>
        <w:t>- :</w:t>
      </w:r>
      <w:proofErr w:type="gramEnd"/>
      <w:r w:rsidRPr="00DB47BD">
        <w:rPr>
          <w:rFonts w:ascii="Traditional Arabic" w:eastAsia="Times New Roman" w:hAnsi="Traditional Arabic" w:cs="Traditional Arabic" w:hint="cs"/>
          <w:color w:val="000000"/>
          <w:sz w:val="36"/>
          <w:szCs w:val="36"/>
          <w:rtl/>
          <w:lang w:eastAsia="ar-SA" w:bidi="ar-EG"/>
        </w:rPr>
        <w:t xml:space="preserve"> فهو شامل لكل أنواع المال قل أو كثر، قال أبو عبيد: جميع متاع الدنيا عَرَض. قال النبي صلى الله عليه وسلم: "ليس الغنى عن كثرة العرض ولكن الغنى غنى النفس""</w:t>
      </w:r>
      <w:r w:rsidRPr="00DB47BD">
        <w:rPr>
          <w:rStyle w:val="a4"/>
          <w:rFonts w:ascii="Traditional Arabic" w:hAnsi="Traditional Arabic"/>
          <w:sz w:val="36"/>
          <w:szCs w:val="36"/>
          <w:rtl/>
        </w:rPr>
        <w:t xml:space="preserve"> </w:t>
      </w:r>
      <w:bookmarkStart w:id="5" w:name="_Hlk116632256"/>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26"/>
      </w:r>
      <w:r w:rsidRPr="00DB47BD">
        <w:rPr>
          <w:rStyle w:val="a4"/>
          <w:rFonts w:ascii="Traditional Arabic" w:hAnsi="Traditional Arabic"/>
          <w:sz w:val="36"/>
          <w:szCs w:val="36"/>
          <w:rtl/>
        </w:rPr>
        <w:t>)</w:t>
      </w:r>
      <w:bookmarkEnd w:id="5"/>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وسمي عرضا "لأنه يعرض ثم يزول ويفنى، وقيل: لأنه يعرض ليباع ويشترى"</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27"/>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و</w:t>
      </w:r>
      <w:r w:rsidRPr="00DB47BD">
        <w:rPr>
          <w:rFonts w:ascii="Traditional Arabic" w:eastAsia="Times New Roman" w:hAnsi="Traditional Arabic" w:cs="Traditional Arabic" w:hint="cs"/>
          <w:color w:val="000000"/>
          <w:sz w:val="36"/>
          <w:szCs w:val="36"/>
          <w:rtl/>
          <w:lang w:eastAsia="ar-SA" w:bidi="ar-EG"/>
        </w:rPr>
        <w:t xml:space="preserve">المقصود بالتجارة هنا هو: أن يعد المال للربح والاستثمار والتكسب. قال في الإنصاف: "معنى نية التجارة أن يقصد التكسب به </w:t>
      </w:r>
      <w:proofErr w:type="spellStart"/>
      <w:r w:rsidRPr="00DB47BD">
        <w:rPr>
          <w:rFonts w:ascii="Traditional Arabic" w:eastAsia="Times New Roman" w:hAnsi="Traditional Arabic" w:cs="Traditional Arabic" w:hint="cs"/>
          <w:color w:val="000000"/>
          <w:sz w:val="36"/>
          <w:szCs w:val="36"/>
          <w:rtl/>
          <w:lang w:eastAsia="ar-SA" w:bidi="ar-EG"/>
        </w:rPr>
        <w:t>بالاعتياض</w:t>
      </w:r>
      <w:proofErr w:type="spellEnd"/>
      <w:r w:rsidRPr="00DB47BD">
        <w:rPr>
          <w:rFonts w:ascii="Traditional Arabic" w:eastAsia="Times New Roman" w:hAnsi="Traditional Arabic" w:cs="Traditional Arabic" w:hint="cs"/>
          <w:color w:val="000000"/>
          <w:sz w:val="36"/>
          <w:szCs w:val="36"/>
          <w:rtl/>
          <w:lang w:eastAsia="ar-SA" w:bidi="ar-EG"/>
        </w:rPr>
        <w:t xml:space="preserve"> عنه لا بإتلافه أو مع استبقائه"</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28"/>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وعبر بعضهم: "عبارة عن شراء شيء ليبيع بالربح أو تقليب المال لغرض الربح"</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29"/>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xml:space="preserve">، فليس المراد مجرد نية البيع، وإنما المراد نية البيع بقصد الربح والاستثمار، فلو اقتنى بيتا ثم أراد أن يستبدله فعرضه للبيع وحال عليه الحول وهو معروض فلا زكاة فيه، لأن نيته ليست هي الربح والاستثمار والبيع من أجل الربح وإنما نيته الانتفاع بثمنه في إنشاء بيت آخر يقتنيه ويسكنه، ومثله لو أنه اشترى أرضا لأجل أن يبيعها في المستقبل إذا احتاج أن يزوج أولاده أو يبني لهم سكنا فذلك من نية القنية، فكل ما كان سلعة يراد منها الربح وأن تباع وتشترى لنماء المال وتحصيل الربح فإنها تقوم كعروض تجارة.  </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lastRenderedPageBreak/>
        <w:t>ثانيا: معنى القنية:</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"القنوة والقنية بكسر القاف وضمها: الكسبة، والقنية ما اكتسب والجمع قنى، ومال قينان: اتخذته لنفسك. وقنيت العنز: اتخذتها للحلب".</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30"/>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.و"القنية: أي المال يقتنى ويتخذ ويصطفى ويحبس للانتفاع به</w:t>
      </w:r>
      <w:r w:rsidRPr="00DB47BD">
        <w:rPr>
          <w:rFonts w:ascii="Traditional Arabic" w:hAnsi="Traditional Arabic" w:hint="cs"/>
          <w:sz w:val="36"/>
          <w:szCs w:val="36"/>
          <w:rtl/>
        </w:rPr>
        <w:t>"</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31"/>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xml:space="preserve">، "يقال: </w:t>
      </w:r>
      <w:proofErr w:type="gramStart"/>
      <w:r w:rsidRPr="00DB47BD">
        <w:rPr>
          <w:rFonts w:ascii="Traditional Arabic" w:eastAsia="Times New Roman" w:hAnsi="Traditional Arabic" w:cs="Traditional Arabic" w:hint="cs"/>
          <w:color w:val="000000"/>
          <w:sz w:val="36"/>
          <w:szCs w:val="36"/>
          <w:rtl/>
          <w:lang w:eastAsia="ar-SA" w:bidi="ar-EG"/>
        </w:rPr>
        <w:t>قناه</w:t>
      </w:r>
      <w:proofErr w:type="gramEnd"/>
      <w:r w:rsidRPr="00DB47BD">
        <w:rPr>
          <w:rFonts w:ascii="Traditional Arabic" w:eastAsia="Times New Roman" w:hAnsi="Traditional Arabic" w:cs="Traditional Arabic" w:hint="cs"/>
          <w:color w:val="000000"/>
          <w:sz w:val="36"/>
          <w:szCs w:val="36"/>
          <w:rtl/>
          <w:lang w:eastAsia="ar-SA" w:bidi="ar-EG"/>
        </w:rPr>
        <w:t xml:space="preserve"> يقنوه واقتناه: إذا اتخذه لنفسه دون البيع".</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32"/>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xml:space="preserve"> </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المسألة الأولى: أثر القاعدة فيمن اشترى مالا للتجارة ثم صرف نيته إلى القنية.</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مثاله لو اشترى أرضا ونيته أن يستثمرها ثم صرف النية إلى أن يبني عليها بيتا يقتنيه ويسكنه:</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فهذا لا يختلف المذهب عند الحنابلة أنه إذا نوى بعرض التجارة القنية أنه يصير للقنية وتسقط الزكاة منه</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33"/>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وهذا قول الشافعية</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34"/>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xml:space="preserve"> وأصحاب الرأي</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35"/>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واختلفت الرواية عن مالك</w:t>
      </w:r>
      <w:r w:rsidRPr="00DB47BD">
        <w:rPr>
          <w:rStyle w:val="a4"/>
          <w:rFonts w:ascii="Traditional Arabic" w:hAnsi="Traditional Arabic" w:hint="cs"/>
          <w:sz w:val="36"/>
          <w:szCs w:val="36"/>
          <w:rtl/>
        </w:rPr>
        <w:t xml:space="preserve"> </w:t>
      </w:r>
      <w:r w:rsidRPr="00DB47BD">
        <w:rPr>
          <w:rFonts w:ascii="Traditional Arabic" w:eastAsia="Times New Roman" w:hAnsi="Traditional Arabic" w:cs="Traditional Arabic" w:hint="cs"/>
          <w:color w:val="000000"/>
          <w:sz w:val="36"/>
          <w:szCs w:val="36"/>
          <w:rtl/>
          <w:lang w:eastAsia="ar-SA" w:bidi="ar-EG"/>
        </w:rPr>
        <w:t xml:space="preserve">؛ فيما إذا اشترى عرضا بنية التجارة ثم نوى به القنية هل يرجع إلى القنية بمجرد النية؟ </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الرواية الأولى: أنه يرجع إلى القنية</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36"/>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وينبني على ذلك انتفاء الزكاة وانقطاع حول الزكاة، وهو رواية ابن القاسم عن مالك</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37"/>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وجه هذا القول</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38"/>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xml:space="preserve">: </w:t>
      </w:r>
    </w:p>
    <w:p w:rsidR="00CA4869" w:rsidRPr="00DB47BD" w:rsidRDefault="00CA4869" w:rsidP="00CA4869">
      <w:pPr>
        <w:pStyle w:val="a5"/>
        <w:widowControl w:val="0"/>
        <w:numPr>
          <w:ilvl w:val="0"/>
          <w:numId w:val="2"/>
        </w:numPr>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أن أصله القنية، فأثر في رده إلى أصله مجرد النية كالذهب والفضة، فـ"الرد إلى الأصل يكفي فيه مجرد النية"؛ كما لو نوى بالحلي </w:t>
      </w:r>
      <w:proofErr w:type="gramStart"/>
      <w:r w:rsidRPr="00DB47BD">
        <w:rPr>
          <w:rFonts w:ascii="Traditional Arabic" w:eastAsia="Times New Roman" w:hAnsi="Traditional Arabic" w:cs="Traditional Arabic" w:hint="cs"/>
          <w:color w:val="000000"/>
          <w:sz w:val="36"/>
          <w:szCs w:val="36"/>
          <w:rtl/>
          <w:lang w:eastAsia="ar-SA" w:bidi="ar-EG"/>
        </w:rPr>
        <w:t>التجارة .</w:t>
      </w:r>
      <w:proofErr w:type="gramEnd"/>
    </w:p>
    <w:p w:rsidR="00CA4869" w:rsidRPr="00DB47BD" w:rsidRDefault="00CA4869" w:rsidP="00CA4869">
      <w:pPr>
        <w:pStyle w:val="a5"/>
        <w:widowControl w:val="0"/>
        <w:numPr>
          <w:ilvl w:val="0"/>
          <w:numId w:val="2"/>
        </w:numPr>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ولأن نية التجارة شرط لوجوب الزكاة في العروض، فإذا نوى القنية زالت نية </w:t>
      </w:r>
      <w:r w:rsidRPr="00DB47BD">
        <w:rPr>
          <w:rFonts w:ascii="Traditional Arabic" w:eastAsia="Times New Roman" w:hAnsi="Traditional Arabic" w:cs="Traditional Arabic" w:hint="cs"/>
          <w:color w:val="000000"/>
          <w:sz w:val="36"/>
          <w:szCs w:val="36"/>
          <w:rtl/>
          <w:lang w:eastAsia="ar-SA" w:bidi="ar-EG"/>
        </w:rPr>
        <w:lastRenderedPageBreak/>
        <w:t>التجارة ففات شرط الوجوب.</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الرواية الثانية: أنه لا يرجع إلى القنية بمجرد النية بل يبقى على نية التجارة وهو رواية أشهب عن مالك</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39"/>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وجه هذا القول</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40"/>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pStyle w:val="a5"/>
        <w:widowControl w:val="0"/>
        <w:numPr>
          <w:ilvl w:val="0"/>
          <w:numId w:val="1"/>
        </w:numPr>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أن النية مؤثرة في العروض كما لو اشتراها للتجارة ثم نوى بها القنية، ولأنه لما اشتراها للتجارة، وثبت لها هذا الحكم، صار أصلا لها، فرجعت إليه لمجرد النية.</w:t>
      </w:r>
    </w:p>
    <w:p w:rsidR="00CA4869" w:rsidRPr="00DB47BD" w:rsidRDefault="00CA4869" w:rsidP="00CA4869">
      <w:pPr>
        <w:pStyle w:val="a5"/>
        <w:widowControl w:val="0"/>
        <w:numPr>
          <w:ilvl w:val="0"/>
          <w:numId w:val="1"/>
        </w:numPr>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وقالوا أيضا: لا يسقط حكم التجارة بمجرد النية كما لو نوى بالسائمة العلف.</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وأجاب أصحاب القول الأول</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41"/>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xml:space="preserve">: بالفرق بين صرف النية من التجارة إلى القنية وبين صرفها من السوم إلى العلف لأن الشرط في زكاة بهيمة الأنعام هي </w:t>
      </w:r>
      <w:proofErr w:type="spellStart"/>
      <w:r w:rsidRPr="00DB47BD">
        <w:rPr>
          <w:rFonts w:ascii="Traditional Arabic" w:eastAsia="Times New Roman" w:hAnsi="Traditional Arabic" w:cs="Traditional Arabic" w:hint="cs"/>
          <w:color w:val="000000"/>
          <w:sz w:val="36"/>
          <w:szCs w:val="36"/>
          <w:rtl/>
          <w:lang w:eastAsia="ar-SA" w:bidi="ar-EG"/>
        </w:rPr>
        <w:t>الإسامة</w:t>
      </w:r>
      <w:proofErr w:type="spellEnd"/>
      <w:r w:rsidRPr="00DB47BD">
        <w:rPr>
          <w:rFonts w:ascii="Traditional Arabic" w:eastAsia="Times New Roman" w:hAnsi="Traditional Arabic" w:cs="Traditional Arabic" w:hint="cs"/>
          <w:color w:val="000000"/>
          <w:sz w:val="36"/>
          <w:szCs w:val="36"/>
          <w:rtl/>
          <w:lang w:eastAsia="ar-SA" w:bidi="ar-EG"/>
        </w:rPr>
        <w:t xml:space="preserve"> دون نيتها، فلا ينتفي الوجوب إلا بانتفاء السوم. وأما قولهم بأن التجارة تكون أصلا كالقنية فهو ممتنع أن يكون </w:t>
      </w:r>
      <w:proofErr w:type="spellStart"/>
      <w:r w:rsidRPr="00DB47BD">
        <w:rPr>
          <w:rFonts w:ascii="Traditional Arabic" w:eastAsia="Times New Roman" w:hAnsi="Traditional Arabic" w:cs="Traditional Arabic" w:hint="cs"/>
          <w:color w:val="000000"/>
          <w:sz w:val="36"/>
          <w:szCs w:val="36"/>
          <w:rtl/>
          <w:lang w:eastAsia="ar-SA" w:bidi="ar-EG"/>
        </w:rPr>
        <w:t>للشئ</w:t>
      </w:r>
      <w:proofErr w:type="spellEnd"/>
      <w:r w:rsidRPr="00DB47BD">
        <w:rPr>
          <w:rFonts w:ascii="Traditional Arabic" w:eastAsia="Times New Roman" w:hAnsi="Traditional Arabic" w:cs="Traditional Arabic" w:hint="cs"/>
          <w:color w:val="000000"/>
          <w:sz w:val="36"/>
          <w:szCs w:val="36"/>
          <w:rtl/>
          <w:lang w:eastAsia="ar-SA" w:bidi="ar-EG"/>
        </w:rPr>
        <w:t xml:space="preserve"> أصلان يرجع إليهما ثم لو كان لكان أحدهما أرجح من الآخر، والقنية هنا أرجح وأقوى. </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المسألة الثانية: أثر القاعدة فيمن اشترى عرضا للقنية ثم نوى به التجارة.</w:t>
      </w:r>
    </w:p>
    <w:p w:rsidR="00CA4869" w:rsidRPr="00DB47BD" w:rsidRDefault="00CA4869" w:rsidP="00CA4869">
      <w:pPr>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إذا اشترى مالا للقنية ثم نوى به التجارة -عكس المسألة السابقة- ففيها قولان:</w:t>
      </w:r>
    </w:p>
    <w:p w:rsidR="00CA4869" w:rsidRPr="00DB47BD" w:rsidRDefault="00CA4869" w:rsidP="00CA4869">
      <w:pPr>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الأول: لا ينتقل إليها بالنية وهو المشهور عند المالكية</w:t>
      </w:r>
      <w:bookmarkStart w:id="6" w:name="_Hlk115589722"/>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42"/>
      </w:r>
      <w:r w:rsidRPr="00DB47BD">
        <w:rPr>
          <w:rStyle w:val="a4"/>
          <w:rFonts w:ascii="Traditional Arabic" w:hAnsi="Traditional Arabic"/>
          <w:sz w:val="36"/>
          <w:szCs w:val="36"/>
          <w:rtl/>
        </w:rPr>
        <w:t>)</w:t>
      </w:r>
      <w:bookmarkEnd w:id="6"/>
      <w:r w:rsidRPr="00DB47BD">
        <w:rPr>
          <w:rFonts w:ascii="Traditional Arabic" w:eastAsia="Times New Roman" w:hAnsi="Traditional Arabic" w:cs="Traditional Arabic" w:hint="cs"/>
          <w:color w:val="000000"/>
          <w:sz w:val="36"/>
          <w:szCs w:val="36"/>
          <w:rtl/>
          <w:lang w:eastAsia="ar-SA"/>
        </w:rPr>
        <w:t xml:space="preserve">، </w:t>
      </w:r>
      <w:r w:rsidRPr="00DB47BD">
        <w:rPr>
          <w:rFonts w:ascii="Traditional Arabic" w:eastAsia="Times New Roman" w:hAnsi="Traditional Arabic" w:cs="Traditional Arabic" w:hint="cs"/>
          <w:color w:val="000000"/>
          <w:sz w:val="36"/>
          <w:szCs w:val="36"/>
          <w:rtl/>
          <w:lang w:eastAsia="ar-SA" w:bidi="ar-EG"/>
        </w:rPr>
        <w:t>والحنابلة</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43"/>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lastRenderedPageBreak/>
        <w:t xml:space="preserve">دليلهم: أن الأصل في العروض القنية، والتجارة فرع، فلا ينصرف إلى الفرع بمجرد النية، فإذا صارت للقنية لم تنتقل عنه إلى التجارة بمجرد </w:t>
      </w:r>
      <w:proofErr w:type="spellStart"/>
      <w:proofErr w:type="gramStart"/>
      <w:r w:rsidRPr="00DB47BD">
        <w:rPr>
          <w:rFonts w:ascii="Traditional Arabic" w:eastAsia="Times New Roman" w:hAnsi="Traditional Arabic" w:cs="Traditional Arabic" w:hint="cs"/>
          <w:color w:val="000000"/>
          <w:sz w:val="36"/>
          <w:szCs w:val="36"/>
          <w:rtl/>
          <w:lang w:eastAsia="ar-SA" w:bidi="ar-EG"/>
        </w:rPr>
        <w:t>النية.كما</w:t>
      </w:r>
      <w:proofErr w:type="spellEnd"/>
      <w:proofErr w:type="gramEnd"/>
      <w:r w:rsidRPr="00DB47BD">
        <w:rPr>
          <w:rFonts w:ascii="Traditional Arabic" w:eastAsia="Times New Roman" w:hAnsi="Traditional Arabic" w:cs="Traditional Arabic" w:hint="cs"/>
          <w:color w:val="000000"/>
          <w:sz w:val="36"/>
          <w:szCs w:val="36"/>
          <w:rtl/>
          <w:lang w:eastAsia="ar-SA" w:bidi="ar-EG"/>
        </w:rPr>
        <w:t xml:space="preserve"> لو نوى الحاضر السفر، وعكسه ما لو نوى المسافر الإقامة فيكفي فيه مجرد النية</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44"/>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قالوا: "والنية سبب ضعيف ينقل إلى الأصل ولا ينقل عنه"</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45"/>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وهذا يعني أن تحويل النية من القنية إلى التجارة لا يصح لمجرد النية</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46"/>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xml:space="preserve">.    </w:t>
      </w:r>
    </w:p>
    <w:p w:rsidR="00CA4869" w:rsidRPr="00DB47BD" w:rsidRDefault="00CA4869" w:rsidP="00CA4869">
      <w:pPr>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القول الآخر: وهو قول عند المالكية</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47"/>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xml:space="preserve"> وقول في مذهب أحمد</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48"/>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xml:space="preserve"> أنها تصير للتجارة بمجرد النية.</w:t>
      </w:r>
    </w:p>
    <w:p w:rsidR="00CA4869" w:rsidRPr="00DB47BD" w:rsidRDefault="00CA4869" w:rsidP="00CA4869">
      <w:pPr>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دليلهم: </w:t>
      </w:r>
    </w:p>
    <w:p w:rsidR="00CA4869" w:rsidRPr="00DB47BD" w:rsidRDefault="00CA4869" w:rsidP="00CA4869">
      <w:pPr>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1-حديث سمرة: أمرنا رسول الله صلى الله عليه وسلم أن نخرج الصدقة مما نعده للبيع.</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49"/>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قالوا: "وهذا داخل في عمومه".</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50"/>
      </w:r>
      <w:r w:rsidRPr="00DB47BD">
        <w:rPr>
          <w:rStyle w:val="a4"/>
          <w:rFonts w:ascii="Traditional Arabic" w:hAnsi="Traditional Arabic"/>
          <w:sz w:val="36"/>
          <w:szCs w:val="36"/>
          <w:rtl/>
        </w:rPr>
        <w:t>)</w:t>
      </w:r>
    </w:p>
    <w:p w:rsidR="00CA4869" w:rsidRPr="00DB47BD" w:rsidRDefault="00CA4869" w:rsidP="00CA4869">
      <w:pPr>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2- ولأن نية القنية كافية بمجردها فكذلك نية التجارة؛ بل هذا أولى، لأن الإيجاب يغلب على الإسقاط احتياطا</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51"/>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pStyle w:val="a5"/>
        <w:numPr>
          <w:ilvl w:val="0"/>
          <w:numId w:val="1"/>
        </w:numPr>
        <w:spacing w:after="160" w:line="259" w:lineRule="auto"/>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ولأنه نوى به التجارة أشبه مالو نوى حال الشراء</w:t>
      </w:r>
      <w:r w:rsidRPr="00DB47BD">
        <w:rPr>
          <w:rStyle w:val="a4"/>
          <w:rFonts w:ascii="Traditional Arabic" w:hAnsi="Traditional Arabic" w:hint="cs"/>
          <w:sz w:val="36"/>
          <w:szCs w:val="36"/>
          <w:rtl/>
        </w:rPr>
        <w:t xml:space="preserve"> </w:t>
      </w:r>
      <w:bookmarkStart w:id="8" w:name="_Hlk118315519"/>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52"/>
      </w:r>
      <w:r w:rsidRPr="00DB47BD">
        <w:rPr>
          <w:rStyle w:val="a4"/>
          <w:rFonts w:ascii="Traditional Arabic" w:hAnsi="Traditional Arabic"/>
          <w:sz w:val="36"/>
          <w:szCs w:val="36"/>
          <w:rtl/>
        </w:rPr>
        <w:t>)</w:t>
      </w:r>
      <w:bookmarkEnd w:id="8"/>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pStyle w:val="a5"/>
        <w:numPr>
          <w:ilvl w:val="0"/>
          <w:numId w:val="1"/>
        </w:numPr>
        <w:spacing w:after="160" w:line="259" w:lineRule="auto"/>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lastRenderedPageBreak/>
        <w:t>قال في المقدمات: "وغلب أشهبُ على أصله أن القنية والتجارة أصلان"، قال: "فلما اجتمعا كان الحكم للذي أوجب الزكاة احتياطا".</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53"/>
      </w:r>
      <w:r w:rsidRPr="00DB47BD">
        <w:rPr>
          <w:rStyle w:val="a4"/>
          <w:rFonts w:ascii="Traditional Arabic" w:hAnsi="Traditional Arabic"/>
          <w:sz w:val="36"/>
          <w:szCs w:val="36"/>
          <w:rtl/>
        </w:rPr>
        <w:t>)</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المسألة الثالثة: أثر القاعدة فيمن كان عنده عرض للتجارة ثم نواه للقنية ثم نواه للتجارة.</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إذا كان عند الشخص عرض تجارة بأن اشتراه ناويا به التجارة ثم نواه للقنية ثم عاد فنواه للتجارة: ففي هذه الصورة وقع خلاف أيضا على قولين:</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القول الأول: لا تعود للتجارة وليس فيها زكاة وهو قول مالك وابن القاسم</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54"/>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ورواية عن أحمد قال الزركشي عنها: "أنص الروايتين وأشهرهما واختارها الخرقي والقاضي وأكثر الأصحاب".</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55"/>
      </w:r>
      <w:r w:rsidRPr="00DB47BD">
        <w:rPr>
          <w:rStyle w:val="a4"/>
          <w:rFonts w:ascii="Traditional Arabic" w:hAnsi="Traditional Arabic"/>
          <w:sz w:val="36"/>
          <w:szCs w:val="36"/>
          <w:rtl/>
        </w:rPr>
        <w:t xml:space="preserve">) </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وهو قول جمهور أهل العلم</w:t>
      </w:r>
      <w:r w:rsidRPr="00DB47BD">
        <w:rPr>
          <w:rStyle w:val="a4"/>
          <w:rFonts w:ascii="Traditional Arabic" w:hAnsi="Traditional Arabic" w:hint="cs"/>
          <w:sz w:val="36"/>
          <w:szCs w:val="36"/>
          <w:rtl/>
        </w:rPr>
        <w:t xml:space="preserve"> </w:t>
      </w:r>
      <w:bookmarkStart w:id="9" w:name="_Hlk115723436"/>
      <w:r w:rsidRPr="00DB47BD">
        <w:rPr>
          <w:rStyle w:val="a4"/>
          <w:rFonts w:ascii="Traditional Arabic" w:hAnsi="Traditional Arabic"/>
          <w:sz w:val="36"/>
          <w:szCs w:val="36"/>
          <w:rtl/>
        </w:rPr>
        <w:t>(</w:t>
      </w:r>
      <w:bookmarkStart w:id="10" w:name="_Hlk115723415"/>
      <w:r w:rsidRPr="00DB47BD">
        <w:rPr>
          <w:rStyle w:val="a4"/>
          <w:rFonts w:ascii="Traditional Arabic" w:hAnsi="Traditional Arabic"/>
          <w:sz w:val="36"/>
          <w:szCs w:val="36"/>
          <w:rtl/>
        </w:rPr>
        <w:footnoteReference w:id="56"/>
      </w:r>
      <w:r w:rsidRPr="00DB47BD">
        <w:rPr>
          <w:rStyle w:val="a4"/>
          <w:rFonts w:ascii="Traditional Arabic" w:hAnsi="Traditional Arabic"/>
          <w:sz w:val="36"/>
          <w:szCs w:val="36"/>
          <w:rtl/>
        </w:rPr>
        <w:t>)</w:t>
      </w:r>
      <w:bookmarkEnd w:id="9"/>
      <w:bookmarkEnd w:id="10"/>
      <w:r w:rsidRPr="00DB47BD">
        <w:rPr>
          <w:rFonts w:ascii="Traditional Arabic" w:eastAsia="Times New Roman" w:hAnsi="Traditional Arabic" w:cs="Traditional Arabic" w:hint="cs"/>
          <w:color w:val="000000"/>
          <w:sz w:val="36"/>
          <w:szCs w:val="36"/>
          <w:rtl/>
          <w:lang w:eastAsia="ar-SA" w:bidi="ar-EG"/>
        </w:rPr>
        <w:t xml:space="preserve">. </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وحجتهم: كما سبق في المطلب السابق: أن ما لا تتعلق به الزكاة من أصله لا يصير محلا لها بمجرد النية، كالمعلوفة إذا نوى بها السوم.</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القول الثاني: تصير للتجارة، وهو رواية عن أحمد اختارها أبو بكر وابن أبي موسى وابن عقيل وأبو محمد في العمدة</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57"/>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.وهو قول أشهب من المالكية</w:t>
      </w:r>
      <w:r w:rsidRPr="00DB47BD">
        <w:rPr>
          <w:rStyle w:val="a4"/>
          <w:rFonts w:ascii="Traditional Arabic" w:hAnsi="Traditional Arabic"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58"/>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ودليلهم ما سبق في المطلب السابق.</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و</w:t>
      </w:r>
      <w:r w:rsidRPr="00DB47BD">
        <w:rPr>
          <w:rFonts w:ascii="Traditional Arabic" w:eastAsia="Times New Roman" w:hAnsi="Traditional Arabic" w:cs="Traditional Arabic" w:hint="cs"/>
          <w:color w:val="000000"/>
          <w:sz w:val="36"/>
          <w:szCs w:val="36"/>
          <w:rtl/>
          <w:lang w:eastAsia="ar-SA" w:bidi="ar-EG"/>
        </w:rPr>
        <w:t xml:space="preserve">يظهر للباحث أن سبب الخلاف: هل التجارة أيضا أصل، فمن قال ليست بأصل فرع على ذلك أن النية تنقل إلى الأصل ولا تنقل منه، ومن قال إن التجارة أصل؛ فهنا تنازع النية أصلان فيرجح بينهما فذهبوا إلى الأحوط </w:t>
      </w:r>
      <w:proofErr w:type="spellStart"/>
      <w:r w:rsidRPr="00DB47BD">
        <w:rPr>
          <w:rFonts w:ascii="Traditional Arabic" w:eastAsia="Times New Roman" w:hAnsi="Traditional Arabic" w:cs="Traditional Arabic" w:hint="cs"/>
          <w:color w:val="000000"/>
          <w:sz w:val="36"/>
          <w:szCs w:val="36"/>
          <w:rtl/>
          <w:lang w:eastAsia="ar-SA" w:bidi="ar-EG"/>
        </w:rPr>
        <w:t>والأحظ</w:t>
      </w:r>
      <w:proofErr w:type="spellEnd"/>
      <w:r w:rsidRPr="00DB47BD">
        <w:rPr>
          <w:rFonts w:ascii="Traditional Arabic" w:eastAsia="Times New Roman" w:hAnsi="Traditional Arabic" w:cs="Traditional Arabic" w:hint="cs"/>
          <w:color w:val="000000"/>
          <w:sz w:val="36"/>
          <w:szCs w:val="36"/>
          <w:rtl/>
          <w:lang w:eastAsia="ar-SA" w:bidi="ar-EG"/>
        </w:rPr>
        <w:t xml:space="preserve"> للفقراء وهو اعتبار النية للتجارة، وأن فيها الزكاة. </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والأقرب والله أعلم أن التجارة أصل في الذهب والفضة وليست أصلا في العروض: </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lastRenderedPageBreak/>
        <w:t>فإن عروض التجارة تنقسم إلى قسمين</w:t>
      </w:r>
      <w:r w:rsidRPr="00DB47BD">
        <w:rPr>
          <w:rStyle w:val="a4"/>
          <w:rFonts w:ascii="Traditional Arabic" w:hAnsi="Traditional Arabic"/>
          <w:sz w:val="36"/>
          <w:szCs w:val="36"/>
          <w:rtl/>
        </w:rPr>
        <w:t xml:space="preserve"> (</w:t>
      </w:r>
      <w:r w:rsidRPr="00DB47BD">
        <w:rPr>
          <w:rStyle w:val="a4"/>
          <w:rFonts w:ascii="Traditional Arabic" w:hAnsi="Traditional Arabic"/>
          <w:sz w:val="36"/>
          <w:szCs w:val="36"/>
          <w:rtl/>
        </w:rPr>
        <w:footnoteReference w:id="59"/>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w:t>
      </w:r>
    </w:p>
    <w:p w:rsidR="00CA4869" w:rsidRPr="00DB47BD" w:rsidRDefault="00CA4869" w:rsidP="00CA4869">
      <w:pPr>
        <w:pStyle w:val="a5"/>
        <w:widowControl w:val="0"/>
        <w:numPr>
          <w:ilvl w:val="0"/>
          <w:numId w:val="3"/>
        </w:numPr>
        <w:spacing w:after="0" w:line="240" w:lineRule="auto"/>
        <w:jc w:val="lowKashida"/>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مال أصله التجارة كالذهب والفضة فهذا على حكم التجارة حتى ينتقل عنه، ولا يحتاج فيهما إلى نية التجارة لأنها معدة للتجارة بأصل الخلقة.</w:t>
      </w:r>
    </w:p>
    <w:p w:rsidR="00CA4869" w:rsidRPr="00DB47BD" w:rsidRDefault="00CA4869" w:rsidP="00CA4869">
      <w:pPr>
        <w:pStyle w:val="a5"/>
        <w:widowControl w:val="0"/>
        <w:numPr>
          <w:ilvl w:val="0"/>
          <w:numId w:val="3"/>
        </w:numPr>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مال أصله القنية كالثياب وسائر الحيوان والأطعمة والعقار فهذا على حكم القنية حتى ينتقل عنه إلى التجارة، فيحتاج إلى نية التجارة مقارنة لعمل التجارة.</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 xml:space="preserve">وقد </w:t>
      </w:r>
      <w:r w:rsidRPr="00DB47BD">
        <w:rPr>
          <w:rFonts w:ascii="Traditional Arabic" w:eastAsia="Times New Roman" w:hAnsi="Traditional Arabic" w:cs="Traditional Arabic" w:hint="cs"/>
          <w:color w:val="000000"/>
          <w:sz w:val="36"/>
          <w:szCs w:val="36"/>
          <w:rtl/>
          <w:lang w:eastAsia="ar-SA" w:bidi="ar-EG"/>
        </w:rPr>
        <w:t xml:space="preserve">ذهب الجمهور إلى أن الأصل في الأموال من القسم الثاني هو القنية وحتى ينتقل إلى التجارة أو من التجارة إلى القنية نحتاج إلى النظر في هذين الأصلين: </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أحدهما: "أن النية سبب ضعيف ينقل إلى الأصل ولا ينقل منه".</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والثاني: "أن النية حتى تنقل إلى غير الأصل لابد وأن يقارنها عمل ".</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فرأي الجمهور أن ما يعد للتجارة يلزم حين إعداده أمران: نية وعمل: فالعمل هو البيع والشراء، والنية هي قصد الربح فلا يكفي في التجارة أحد الأمرين دون الأخر.</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وإذا أراد أن ينتقل إلى القنية فيكفي في ذلك النية فقط.</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فرأي الجمهور أقرب والله أعلم </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وأما مسألة من نوى التجارة ثم القنية ثم التجارة فسبب خلافهم مع ما ذكر في الترجيح السابق أنهم اختلفوا؛ هل نسخت نية القنية المتوسطة نية التجارة قبلها؟ فالجمهور على أنها نسختها فلا اعتبار بها، فعادت المسألة إلى مسألة من نوى القنية ثم التجارة، والقول الآخر على أنها لم تنسخها وبالتالي فإن أصل المال للتجارة باعتبار الفعل الأول، فإنه لما تملكها أولا بنية التجارة كان هذا أصلا يبنى عليه، والخلاف هنا أقوى من الخلاف في المسألة السابقة على أن قول الجمهور أقرب والله تعالى أعلم.</w:t>
      </w:r>
    </w:p>
    <w:p w:rsidR="00CA4869" w:rsidRPr="00DB47BD" w:rsidRDefault="00CA4869" w:rsidP="00CA4869">
      <w:pPr>
        <w:widowControl w:val="0"/>
        <w:spacing w:after="0" w:line="240" w:lineRule="auto"/>
        <w:ind w:firstLine="454"/>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المطلب الثاني: أثر القاعدة في حكم إقامة المسافر وسفر المقيم:</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الأصل هو الإقامة والسفر طارئ، فإذا نوى المسافر الإقامة في بلد فإن عامة أهل العلم على أن النية كافية في الانتقال من وصف السفر إلى وصف الإقامة بخلاف مالو نوى المقيم السفر فإنها </w:t>
      </w:r>
      <w:proofErr w:type="spellStart"/>
      <w:r w:rsidRPr="00DB47BD">
        <w:rPr>
          <w:rFonts w:ascii="Traditional Arabic" w:eastAsia="Times New Roman" w:hAnsi="Traditional Arabic" w:cs="Traditional Arabic" w:hint="cs"/>
          <w:color w:val="000000"/>
          <w:sz w:val="36"/>
          <w:szCs w:val="36"/>
          <w:rtl/>
          <w:lang w:eastAsia="ar-SA" w:bidi="ar-EG"/>
        </w:rPr>
        <w:t>لاتنقل</w:t>
      </w:r>
      <w:proofErr w:type="spellEnd"/>
      <w:r w:rsidRPr="00DB47BD">
        <w:rPr>
          <w:rFonts w:ascii="Traditional Arabic" w:eastAsia="Times New Roman" w:hAnsi="Traditional Arabic" w:cs="Traditional Arabic" w:hint="cs"/>
          <w:color w:val="000000"/>
          <w:sz w:val="36"/>
          <w:szCs w:val="36"/>
          <w:rtl/>
          <w:lang w:eastAsia="ar-SA" w:bidi="ar-EG"/>
        </w:rPr>
        <w:t xml:space="preserve"> إليه لأن الأصل في حال الإنسان هو الإقامة والنية سبب ضعيف ينقل من </w:t>
      </w:r>
      <w:r w:rsidRPr="00DB47BD">
        <w:rPr>
          <w:rFonts w:ascii="Traditional Arabic" w:eastAsia="Times New Roman" w:hAnsi="Traditional Arabic" w:cs="Traditional Arabic" w:hint="cs"/>
          <w:color w:val="000000"/>
          <w:sz w:val="36"/>
          <w:szCs w:val="36"/>
          <w:rtl/>
          <w:lang w:eastAsia="ar-SA" w:bidi="ar-EG"/>
        </w:rPr>
        <w:lastRenderedPageBreak/>
        <w:t>الأصل ولا ينقل إليه، فإذا صاحب النية عمل بأن خرج من البلد ناويا السفر فهنا حكمه حكم المسافر وله أن يترخص برخص السفر.</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قال خليل في شرحه على ابن الحاجب: "النية لما كانت سببا ضعيفا نقلت إلى الأصل ولم تنقل عنه؛ كالقصر في الصلاة لا ينتقل إليه بالنية بخلاف الإتمام فإنه يكفي فيه نية الإقامة".</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60"/>
      </w:r>
      <w:r w:rsidRPr="00DB47BD">
        <w:rPr>
          <w:rStyle w:val="a4"/>
          <w:rFonts w:ascii="Traditional Arabic" w:hAnsi="Traditional Arabic"/>
          <w:sz w:val="36"/>
          <w:szCs w:val="36"/>
          <w:rtl/>
        </w:rPr>
        <w:t>)</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rPr>
      </w:pPr>
      <w:r w:rsidRPr="00DB47BD">
        <w:rPr>
          <w:rFonts w:ascii="Traditional Arabic" w:eastAsia="Times New Roman" w:hAnsi="Traditional Arabic" w:cs="Traditional Arabic" w:hint="cs"/>
          <w:color w:val="000000"/>
          <w:sz w:val="36"/>
          <w:szCs w:val="36"/>
          <w:rtl/>
          <w:lang w:eastAsia="ar-SA" w:bidi="ar-EG"/>
        </w:rPr>
        <w:t xml:space="preserve">وقال الزركشي الشافعي: "النية القاطعة تؤثر في مواضع بمجردها من غير توقف على الفعل القاطع، قال: الثاني: أن يعضدها أصل، كالمسافر ينوي الإقامة يصير مقيما بمجرد النية، لأنها الأصل بخلاف السفر لا يحصل إلا بالنية والفعل، لأن الأصل الإقامة والسفر </w:t>
      </w:r>
      <w:proofErr w:type="spellStart"/>
      <w:r w:rsidRPr="00DB47BD">
        <w:rPr>
          <w:rFonts w:ascii="Traditional Arabic" w:eastAsia="Times New Roman" w:hAnsi="Traditional Arabic" w:cs="Traditional Arabic" w:hint="cs"/>
          <w:color w:val="000000"/>
          <w:sz w:val="36"/>
          <w:szCs w:val="36"/>
          <w:rtl/>
          <w:lang w:eastAsia="ar-SA" w:bidi="ar-EG"/>
        </w:rPr>
        <w:t>طاريء</w:t>
      </w:r>
      <w:proofErr w:type="spellEnd"/>
      <w:r w:rsidRPr="00DB47BD">
        <w:rPr>
          <w:rFonts w:ascii="Traditional Arabic" w:eastAsia="Times New Roman" w:hAnsi="Traditional Arabic" w:cs="Traditional Arabic" w:hint="cs"/>
          <w:color w:val="000000"/>
          <w:sz w:val="36"/>
          <w:szCs w:val="36"/>
          <w:rtl/>
          <w:lang w:eastAsia="ar-SA" w:bidi="ar-EG"/>
        </w:rPr>
        <w:t>، فلا يكفي فيه مجرد النية".</w:t>
      </w:r>
      <w:bookmarkStart w:id="11" w:name="_Hlk116578314"/>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61"/>
      </w:r>
      <w:r w:rsidRPr="00DB47BD">
        <w:rPr>
          <w:rStyle w:val="a4"/>
          <w:rFonts w:ascii="Traditional Arabic" w:hAnsi="Traditional Arabic"/>
          <w:sz w:val="36"/>
          <w:szCs w:val="36"/>
          <w:rtl/>
        </w:rPr>
        <w:t>)</w:t>
      </w:r>
      <w:bookmarkEnd w:id="11"/>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وقال ابن قدامة: "ويكفي في الرد إلى الأصل مجرد النية، كما لو نوى بالحلي التجارة أو نوى المسافر الإقامة".</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62"/>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xml:space="preserve"> قال أبو الفرج المقدسي في الشرح </w:t>
      </w:r>
      <w:proofErr w:type="spellStart"/>
      <w:r w:rsidRPr="00DB47BD">
        <w:rPr>
          <w:rFonts w:ascii="Traditional Arabic" w:eastAsia="Times New Roman" w:hAnsi="Traditional Arabic" w:cs="Traditional Arabic" w:hint="cs"/>
          <w:color w:val="000000"/>
          <w:sz w:val="36"/>
          <w:szCs w:val="36"/>
          <w:rtl/>
          <w:lang w:eastAsia="ar-SA" w:bidi="ar-EG"/>
        </w:rPr>
        <w:t>الكبير:"فإذا</w:t>
      </w:r>
      <w:proofErr w:type="spellEnd"/>
      <w:r w:rsidRPr="00DB47BD">
        <w:rPr>
          <w:rFonts w:ascii="Traditional Arabic" w:eastAsia="Times New Roman" w:hAnsi="Traditional Arabic" w:cs="Traditional Arabic" w:hint="cs"/>
          <w:color w:val="000000"/>
          <w:sz w:val="36"/>
          <w:szCs w:val="36"/>
          <w:rtl/>
          <w:lang w:eastAsia="ar-SA" w:bidi="ar-EG"/>
        </w:rPr>
        <w:t xml:space="preserve"> صارت -أي العروض- للقنية لم تنتقل عنه بمجرد النية؛ كما لو نوى الحاضر السفر وعكسه ما لو نوى المسافر الإقامة يكفي فيه مجرد النية".</w:t>
      </w:r>
      <w:bookmarkStart w:id="12" w:name="_Hlk116592056"/>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63"/>
      </w:r>
      <w:r w:rsidRPr="00DB47BD">
        <w:rPr>
          <w:rStyle w:val="a4"/>
          <w:rFonts w:ascii="Traditional Arabic" w:hAnsi="Traditional Arabic"/>
          <w:sz w:val="36"/>
          <w:szCs w:val="36"/>
          <w:rtl/>
        </w:rPr>
        <w:t>)</w:t>
      </w:r>
      <w:bookmarkEnd w:id="12"/>
    </w:p>
    <w:p w:rsidR="00CA4869" w:rsidRPr="00DB47BD" w:rsidRDefault="00CA4869" w:rsidP="00CA4869">
      <w:pPr>
        <w:widowControl w:val="0"/>
        <w:spacing w:after="0" w:line="240" w:lineRule="auto"/>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المطلب الثالث: أثر القاعدة في نية الدخول في الصلاة.</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الأصل عدم الدخول في الصلاة والتلبس بها ولذا فإن في ابتداء الصلاة: يكبر المصلي تكبيرة الإحرام مع نية الإحرام السابقة لها أو المصاحبة لها، فصاحبت النية القول، وليس المراد بالقول </w:t>
      </w:r>
      <w:proofErr w:type="gramStart"/>
      <w:r w:rsidRPr="00DB47BD">
        <w:rPr>
          <w:rFonts w:ascii="Traditional Arabic" w:eastAsia="Times New Roman" w:hAnsi="Traditional Arabic" w:cs="Traditional Arabic" w:hint="cs"/>
          <w:color w:val="000000"/>
          <w:sz w:val="36"/>
          <w:szCs w:val="36"/>
          <w:rtl/>
          <w:lang w:eastAsia="ar-SA" w:bidi="ar-EG"/>
        </w:rPr>
        <w:t>أن</w:t>
      </w:r>
      <w:proofErr w:type="gramEnd"/>
      <w:r w:rsidRPr="00DB47BD">
        <w:rPr>
          <w:rFonts w:ascii="Traditional Arabic" w:eastAsia="Times New Roman" w:hAnsi="Traditional Arabic" w:cs="Traditional Arabic" w:hint="cs"/>
          <w:color w:val="000000"/>
          <w:sz w:val="36"/>
          <w:szCs w:val="36"/>
          <w:rtl/>
          <w:lang w:eastAsia="ar-SA" w:bidi="ar-EG"/>
        </w:rPr>
        <w:t xml:space="preserve"> يقول المصلي: نويت كذا وكذا، فهذا مما لا أصل له، فالدخول في الصلاة لابد له من قول والقول يعتبر عملا -كما هو متقرر-، والواجب في ذلك: التكبير فإذا انضاف إلى النية دخل المصلي في الصلاة، وانتقل بالنية التي قواها التكبير إلى الدخول في الصلاة. </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rPr>
      </w:pPr>
      <w:r w:rsidRPr="00DB47BD">
        <w:rPr>
          <w:rFonts w:ascii="Traditional Arabic" w:eastAsia="Times New Roman" w:hAnsi="Traditional Arabic" w:cs="Traditional Arabic" w:hint="cs"/>
          <w:color w:val="000000"/>
          <w:sz w:val="36"/>
          <w:szCs w:val="36"/>
          <w:rtl/>
          <w:lang w:eastAsia="ar-SA" w:bidi="ar-EG"/>
        </w:rPr>
        <w:t xml:space="preserve">قال </w:t>
      </w:r>
      <w:proofErr w:type="spellStart"/>
      <w:r w:rsidRPr="00DB47BD">
        <w:rPr>
          <w:rFonts w:ascii="Traditional Arabic" w:eastAsia="Times New Roman" w:hAnsi="Traditional Arabic" w:cs="Traditional Arabic" w:hint="cs"/>
          <w:color w:val="000000"/>
          <w:sz w:val="36"/>
          <w:szCs w:val="36"/>
          <w:rtl/>
          <w:lang w:eastAsia="ar-SA" w:bidi="ar-EG"/>
        </w:rPr>
        <w:t>الكاساني</w:t>
      </w:r>
      <w:proofErr w:type="spellEnd"/>
      <w:r w:rsidRPr="00DB47BD">
        <w:rPr>
          <w:rFonts w:ascii="Traditional Arabic" w:eastAsia="Times New Roman" w:hAnsi="Traditional Arabic" w:cs="Traditional Arabic" w:hint="cs"/>
          <w:color w:val="000000"/>
          <w:sz w:val="36"/>
          <w:szCs w:val="36"/>
          <w:rtl/>
          <w:lang w:eastAsia="ar-SA" w:bidi="ar-EG"/>
        </w:rPr>
        <w:t xml:space="preserve">: "وروي عنه أنه </w:t>
      </w:r>
      <w:proofErr w:type="spellStart"/>
      <w:r w:rsidRPr="00DB47BD">
        <w:rPr>
          <w:rFonts w:ascii="Traditional Arabic" w:eastAsia="Times New Roman" w:hAnsi="Traditional Arabic" w:cs="Traditional Arabic" w:hint="cs"/>
          <w:color w:val="000000"/>
          <w:sz w:val="36"/>
          <w:szCs w:val="36"/>
          <w:rtl/>
          <w:lang w:eastAsia="ar-SA" w:bidi="ar-EG"/>
        </w:rPr>
        <w:t>لايصير</w:t>
      </w:r>
      <w:proofErr w:type="spellEnd"/>
      <w:r w:rsidRPr="00DB47BD">
        <w:rPr>
          <w:rFonts w:ascii="Traditional Arabic" w:eastAsia="Times New Roman" w:hAnsi="Traditional Arabic" w:cs="Traditional Arabic" w:hint="cs"/>
          <w:color w:val="000000"/>
          <w:sz w:val="36"/>
          <w:szCs w:val="36"/>
          <w:rtl/>
          <w:lang w:eastAsia="ar-SA" w:bidi="ar-EG"/>
        </w:rPr>
        <w:t xml:space="preserve"> محرما إلا بلفظ التلبية، كما </w:t>
      </w:r>
      <w:proofErr w:type="spellStart"/>
      <w:r w:rsidRPr="00DB47BD">
        <w:rPr>
          <w:rFonts w:ascii="Traditional Arabic" w:eastAsia="Times New Roman" w:hAnsi="Traditional Arabic" w:cs="Traditional Arabic" w:hint="cs"/>
          <w:color w:val="000000"/>
          <w:sz w:val="36"/>
          <w:szCs w:val="36"/>
          <w:rtl/>
          <w:lang w:eastAsia="ar-SA" w:bidi="ar-EG"/>
        </w:rPr>
        <w:t>لايصير</w:t>
      </w:r>
      <w:proofErr w:type="spellEnd"/>
      <w:r w:rsidRPr="00DB47BD">
        <w:rPr>
          <w:rFonts w:ascii="Traditional Arabic" w:eastAsia="Times New Roman" w:hAnsi="Traditional Arabic" w:cs="Traditional Arabic" w:hint="cs"/>
          <w:color w:val="000000"/>
          <w:sz w:val="36"/>
          <w:szCs w:val="36"/>
          <w:rtl/>
          <w:lang w:eastAsia="ar-SA" w:bidi="ar-EG"/>
        </w:rPr>
        <w:t xml:space="preserve"> شارعا في الصلاة إلا بلفظ التكبير".</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64"/>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rPr>
        <w:t xml:space="preserve"> </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rPr>
      </w:pPr>
      <w:r w:rsidRPr="00DB47BD">
        <w:rPr>
          <w:rFonts w:ascii="Traditional Arabic" w:eastAsia="Times New Roman" w:hAnsi="Traditional Arabic" w:cs="Traditional Arabic" w:hint="cs"/>
          <w:color w:val="000000"/>
          <w:sz w:val="36"/>
          <w:szCs w:val="36"/>
          <w:rtl/>
          <w:lang w:eastAsia="ar-SA"/>
        </w:rPr>
        <w:t>وقال الشافعي عن الصلاة: "</w:t>
      </w:r>
      <w:proofErr w:type="spellStart"/>
      <w:r w:rsidRPr="00DB47BD">
        <w:rPr>
          <w:rFonts w:ascii="Traditional Arabic" w:eastAsia="Times New Roman" w:hAnsi="Traditional Arabic" w:cs="Traditional Arabic" w:hint="cs"/>
          <w:color w:val="000000"/>
          <w:sz w:val="36"/>
          <w:szCs w:val="36"/>
          <w:rtl/>
          <w:lang w:eastAsia="ar-SA"/>
        </w:rPr>
        <w:t>لاتصح</w:t>
      </w:r>
      <w:proofErr w:type="spellEnd"/>
      <w:r w:rsidRPr="00DB47BD">
        <w:rPr>
          <w:rFonts w:ascii="Traditional Arabic" w:eastAsia="Times New Roman" w:hAnsi="Traditional Arabic" w:cs="Traditional Arabic" w:hint="cs"/>
          <w:color w:val="000000"/>
          <w:sz w:val="36"/>
          <w:szCs w:val="36"/>
          <w:rtl/>
          <w:lang w:eastAsia="ar-SA"/>
        </w:rPr>
        <w:t xml:space="preserve"> إلا بالنطق". وقد غلط النووي من حمل ذلك على </w:t>
      </w:r>
      <w:r w:rsidRPr="00DB47BD">
        <w:rPr>
          <w:rFonts w:ascii="Traditional Arabic" w:eastAsia="Times New Roman" w:hAnsi="Traditional Arabic" w:cs="Traditional Arabic" w:hint="cs"/>
          <w:color w:val="000000"/>
          <w:sz w:val="36"/>
          <w:szCs w:val="36"/>
          <w:rtl/>
          <w:lang w:eastAsia="ar-SA"/>
        </w:rPr>
        <w:lastRenderedPageBreak/>
        <w:t>التلفظ بالنية باللسان فقال:" وليس مراد الشافعي بالنطق في الصلاة هذا، بل مراده التكبير".</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65"/>
      </w:r>
      <w:r w:rsidRPr="00DB47BD">
        <w:rPr>
          <w:rStyle w:val="a4"/>
          <w:rFonts w:ascii="Traditional Arabic" w:hAnsi="Traditional Arabic"/>
          <w:sz w:val="36"/>
          <w:szCs w:val="36"/>
          <w:rtl/>
        </w:rPr>
        <w:t>)</w:t>
      </w:r>
    </w:p>
    <w:p w:rsidR="00CA4869" w:rsidRPr="00DB47BD" w:rsidRDefault="00CA4869" w:rsidP="00CA4869">
      <w:pPr>
        <w:widowControl w:val="0"/>
        <w:spacing w:after="0" w:line="240" w:lineRule="auto"/>
        <w:jc w:val="lowKashida"/>
        <w:rPr>
          <w:rFonts w:ascii="Traditional Arabic" w:eastAsia="Times New Roman" w:hAnsi="Traditional Arabic" w:cs="Traditional Arabic"/>
          <w:b/>
          <w:bCs/>
          <w:color w:val="000000"/>
          <w:sz w:val="36"/>
          <w:szCs w:val="36"/>
          <w:rtl/>
          <w:lang w:eastAsia="ar-SA"/>
        </w:rPr>
      </w:pPr>
      <w:r w:rsidRPr="00DB47BD">
        <w:rPr>
          <w:rFonts w:ascii="Traditional Arabic" w:eastAsia="Times New Roman" w:hAnsi="Traditional Arabic" w:cs="Traditional Arabic" w:hint="cs"/>
          <w:b/>
          <w:bCs/>
          <w:color w:val="000000"/>
          <w:sz w:val="36"/>
          <w:szCs w:val="36"/>
          <w:rtl/>
          <w:lang w:eastAsia="ar-SA"/>
        </w:rPr>
        <w:t xml:space="preserve">المطلب الرابع: أثر القاعدة في حكم من نوى الإفطار في الصوم </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rPr>
      </w:pPr>
      <w:r w:rsidRPr="00DB47BD">
        <w:rPr>
          <w:rFonts w:ascii="Traditional Arabic" w:eastAsia="Times New Roman" w:hAnsi="Traditional Arabic" w:cs="Traditional Arabic" w:hint="cs"/>
          <w:color w:val="000000"/>
          <w:sz w:val="36"/>
          <w:szCs w:val="36"/>
          <w:rtl/>
          <w:lang w:eastAsia="ar-SA"/>
        </w:rPr>
        <w:t>إذا نوى الصائم الإفطار وجزم به فهل يعد مفطرا؟ لأهل العلم في هذه المسألة قولان:</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rPr>
      </w:pPr>
      <w:r w:rsidRPr="00DB47BD">
        <w:rPr>
          <w:rFonts w:ascii="Traditional Arabic" w:eastAsia="Times New Roman" w:hAnsi="Traditional Arabic" w:cs="Traditional Arabic" w:hint="cs"/>
          <w:color w:val="000000"/>
          <w:sz w:val="36"/>
          <w:szCs w:val="36"/>
          <w:rtl/>
          <w:lang w:eastAsia="ar-SA"/>
        </w:rPr>
        <w:t>أحدهما: المشهور من مذهب المالكية وهو مذهب الحنابلة</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66"/>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rPr>
        <w:t xml:space="preserve"> أنه يعد مفطرا بمجرد النية.</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rPr>
      </w:pPr>
      <w:r w:rsidRPr="00DB47BD">
        <w:rPr>
          <w:rFonts w:ascii="Traditional Arabic" w:eastAsia="Times New Roman" w:hAnsi="Traditional Arabic" w:cs="Traditional Arabic" w:hint="cs"/>
          <w:color w:val="000000"/>
          <w:sz w:val="36"/>
          <w:szCs w:val="36"/>
          <w:rtl/>
          <w:lang w:eastAsia="ar-SA"/>
        </w:rPr>
        <w:t>ودليلهم: التعليل بأن الصوم عبادة من شرطها النية ففسدت بنية الخروج منها كالصلاة.</w:t>
      </w:r>
      <w:r w:rsidRPr="00DB47BD">
        <w:rPr>
          <w:rStyle w:val="a4"/>
          <w:rFonts w:ascii="Traditional Arabic" w:hAnsi="Traditional Arabic"/>
          <w:sz w:val="36"/>
          <w:szCs w:val="36"/>
          <w:rtl/>
        </w:rPr>
        <w:t xml:space="preserve"> (</w:t>
      </w:r>
      <w:r w:rsidRPr="00DB47BD">
        <w:rPr>
          <w:rStyle w:val="a4"/>
          <w:rFonts w:ascii="Traditional Arabic" w:hAnsi="Traditional Arabic"/>
          <w:sz w:val="36"/>
          <w:szCs w:val="36"/>
          <w:rtl/>
        </w:rPr>
        <w:footnoteReference w:id="67"/>
      </w:r>
      <w:r w:rsidRPr="00DB47BD">
        <w:rPr>
          <w:rStyle w:val="a4"/>
          <w:rFonts w:ascii="Traditional Arabic" w:hAnsi="Traditional Arabic"/>
          <w:sz w:val="36"/>
          <w:szCs w:val="36"/>
          <w:rtl/>
        </w:rPr>
        <w:t>)</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rPr>
      </w:pPr>
      <w:r w:rsidRPr="00DB47BD">
        <w:rPr>
          <w:rFonts w:ascii="Traditional Arabic" w:eastAsia="Times New Roman" w:hAnsi="Traditional Arabic" w:cs="Traditional Arabic" w:hint="cs"/>
          <w:color w:val="000000"/>
          <w:sz w:val="36"/>
          <w:szCs w:val="36"/>
          <w:rtl/>
          <w:lang w:eastAsia="ar-SA"/>
        </w:rPr>
        <w:t xml:space="preserve">الثاني: أنه لا يفطر بمجرد النية، إذا نوى الفطر ولم يحدث شيئا آخر سوى النية وهو مذهب </w:t>
      </w:r>
      <w:proofErr w:type="gramStart"/>
      <w:r w:rsidRPr="00DB47BD">
        <w:rPr>
          <w:rFonts w:ascii="Traditional Arabic" w:eastAsia="Times New Roman" w:hAnsi="Traditional Arabic" w:cs="Traditional Arabic" w:hint="cs"/>
          <w:color w:val="000000"/>
          <w:sz w:val="36"/>
          <w:szCs w:val="36"/>
          <w:rtl/>
          <w:lang w:eastAsia="ar-SA"/>
        </w:rPr>
        <w:t>الحنفية .</w:t>
      </w:r>
      <w:proofErr w:type="gramEnd"/>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rPr>
      </w:pPr>
      <w:r w:rsidRPr="00DB47BD">
        <w:rPr>
          <w:rFonts w:ascii="Traditional Arabic" w:eastAsia="Times New Roman" w:hAnsi="Traditional Arabic" w:cs="Traditional Arabic" w:hint="cs"/>
          <w:color w:val="000000"/>
          <w:sz w:val="36"/>
          <w:szCs w:val="36"/>
          <w:rtl/>
          <w:lang w:eastAsia="ar-SA"/>
        </w:rPr>
        <w:t xml:space="preserve">واستدل الأحناف </w:t>
      </w:r>
      <w:proofErr w:type="gramStart"/>
      <w:r w:rsidRPr="00DB47BD">
        <w:rPr>
          <w:rFonts w:ascii="Traditional Arabic" w:eastAsia="Times New Roman" w:hAnsi="Traditional Arabic" w:cs="Traditional Arabic" w:hint="cs"/>
          <w:color w:val="000000"/>
          <w:sz w:val="36"/>
          <w:szCs w:val="36"/>
          <w:rtl/>
          <w:lang w:eastAsia="ar-SA"/>
        </w:rPr>
        <w:t>بـ"</w:t>
      </w:r>
      <w:proofErr w:type="gramEnd"/>
      <w:r w:rsidRPr="00DB47BD">
        <w:rPr>
          <w:rFonts w:ascii="Traditional Arabic" w:eastAsia="Times New Roman" w:hAnsi="Traditional Arabic" w:cs="Traditional Arabic" w:hint="cs"/>
          <w:color w:val="000000"/>
          <w:sz w:val="36"/>
          <w:szCs w:val="36"/>
          <w:rtl/>
          <w:lang w:eastAsia="ar-SA"/>
        </w:rPr>
        <w:t xml:space="preserve">أن مجرد النية </w:t>
      </w:r>
      <w:proofErr w:type="spellStart"/>
      <w:r w:rsidRPr="00DB47BD">
        <w:rPr>
          <w:rFonts w:ascii="Traditional Arabic" w:eastAsia="Times New Roman" w:hAnsi="Traditional Arabic" w:cs="Traditional Arabic" w:hint="cs"/>
          <w:color w:val="000000"/>
          <w:sz w:val="36"/>
          <w:szCs w:val="36"/>
          <w:rtl/>
          <w:lang w:eastAsia="ar-SA"/>
        </w:rPr>
        <w:t>لاعبرة</w:t>
      </w:r>
      <w:proofErr w:type="spellEnd"/>
      <w:r w:rsidRPr="00DB47BD">
        <w:rPr>
          <w:rFonts w:ascii="Traditional Arabic" w:eastAsia="Times New Roman" w:hAnsi="Traditional Arabic" w:cs="Traditional Arabic" w:hint="cs"/>
          <w:color w:val="000000"/>
          <w:sz w:val="36"/>
          <w:szCs w:val="36"/>
          <w:rtl/>
          <w:lang w:eastAsia="ar-SA"/>
        </w:rPr>
        <w:t xml:space="preserve"> به في أحكام الشرع مالم يتصل به الفعل". قالوا: "لأن نية الصوم نية اتصل بها الفعل فلا تبطل بنية لم يتصل بها الفعل".</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68"/>
      </w:r>
      <w:r w:rsidRPr="00DB47BD">
        <w:rPr>
          <w:rStyle w:val="a4"/>
          <w:rFonts w:ascii="Traditional Arabic" w:hAnsi="Traditional Arabic"/>
          <w:sz w:val="36"/>
          <w:szCs w:val="36"/>
          <w:rtl/>
        </w:rPr>
        <w:t>)</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rPr>
      </w:pPr>
      <w:r w:rsidRPr="00DB47BD">
        <w:rPr>
          <w:rFonts w:ascii="Traditional Arabic" w:eastAsia="Times New Roman" w:hAnsi="Traditional Arabic" w:cs="Traditional Arabic" w:hint="cs"/>
          <w:color w:val="000000"/>
          <w:sz w:val="36"/>
          <w:szCs w:val="36"/>
          <w:rtl/>
          <w:lang w:eastAsia="ar-SA"/>
        </w:rPr>
        <w:t>وعند التأمل في هذا الاستدلال فإن الفطر هو الأصل والصوم يعتبر خروجا عن الأصل، لما فيه من الإمساك عن المفطرات وتركها، والترك إذا صحبته نية يوصف بأنه فعل</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69"/>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rPr>
        <w:t xml:space="preserve">، وعليه فإن القاعدة تدل على خلاف </w:t>
      </w:r>
      <w:proofErr w:type="spellStart"/>
      <w:r w:rsidRPr="00DB47BD">
        <w:rPr>
          <w:rFonts w:ascii="Traditional Arabic" w:eastAsia="Times New Roman" w:hAnsi="Traditional Arabic" w:cs="Traditional Arabic" w:hint="cs"/>
          <w:color w:val="000000"/>
          <w:sz w:val="36"/>
          <w:szCs w:val="36"/>
          <w:rtl/>
          <w:lang w:eastAsia="ar-SA"/>
        </w:rPr>
        <w:t>ماذهب</w:t>
      </w:r>
      <w:proofErr w:type="spellEnd"/>
      <w:r w:rsidRPr="00DB47BD">
        <w:rPr>
          <w:rFonts w:ascii="Traditional Arabic" w:eastAsia="Times New Roman" w:hAnsi="Traditional Arabic" w:cs="Traditional Arabic" w:hint="cs"/>
          <w:color w:val="000000"/>
          <w:sz w:val="36"/>
          <w:szCs w:val="36"/>
          <w:rtl/>
          <w:lang w:eastAsia="ar-SA"/>
        </w:rPr>
        <w:t xml:space="preserve"> إليه الأحناف، وتؤيد ما ذهب إليه الجمهور حيث قالوا: من نوى الفطر أفطر، فإن النية هنا </w:t>
      </w:r>
      <w:proofErr w:type="spellStart"/>
      <w:r w:rsidRPr="00DB47BD">
        <w:rPr>
          <w:rFonts w:ascii="Traditional Arabic" w:eastAsia="Times New Roman" w:hAnsi="Traditional Arabic" w:cs="Traditional Arabic" w:hint="cs"/>
          <w:color w:val="000000"/>
          <w:sz w:val="36"/>
          <w:szCs w:val="36"/>
          <w:rtl/>
          <w:lang w:eastAsia="ar-SA"/>
        </w:rPr>
        <w:t>لاتحتاج</w:t>
      </w:r>
      <w:proofErr w:type="spellEnd"/>
      <w:r w:rsidRPr="00DB47BD">
        <w:rPr>
          <w:rFonts w:ascii="Traditional Arabic" w:eastAsia="Times New Roman" w:hAnsi="Traditional Arabic" w:cs="Traditional Arabic" w:hint="cs"/>
          <w:color w:val="000000"/>
          <w:sz w:val="36"/>
          <w:szCs w:val="36"/>
          <w:rtl/>
          <w:lang w:eastAsia="ar-SA"/>
        </w:rPr>
        <w:t xml:space="preserve"> إلى عمل، لكونها تنقل إلى الأصل -وهو الفطر- ولا تنقل عنه.</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rPr>
      </w:pPr>
    </w:p>
    <w:p w:rsidR="00CA4869" w:rsidRPr="00DB47BD" w:rsidRDefault="00CA4869" w:rsidP="00CA4869">
      <w:pPr>
        <w:widowControl w:val="0"/>
        <w:spacing w:after="0" w:line="240" w:lineRule="auto"/>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 xml:space="preserve">المطلب الخامس: أثر القاعدة في نية الدخول في النسك. </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حيث إن الأصل في المسلم أنه غير متلبس بالإحرام؛ فهل يدخل في النسك بمجرد النية؟ </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اختلف أهل العلم في ذلك على قولين:</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الأول: لابد أن تقترن النية بقول أو فعل وهو قول الحنفية وقول عند المالكية قال </w:t>
      </w:r>
      <w:proofErr w:type="spellStart"/>
      <w:r w:rsidRPr="00DB47BD">
        <w:rPr>
          <w:rFonts w:ascii="Traditional Arabic" w:eastAsia="Times New Roman" w:hAnsi="Traditional Arabic" w:cs="Traditional Arabic" w:hint="cs"/>
          <w:color w:val="000000"/>
          <w:sz w:val="36"/>
          <w:szCs w:val="36"/>
          <w:rtl/>
          <w:lang w:eastAsia="ar-SA" w:bidi="ar-EG"/>
        </w:rPr>
        <w:t>الكاساني</w:t>
      </w:r>
      <w:proofErr w:type="spellEnd"/>
      <w:r w:rsidRPr="00DB47BD">
        <w:rPr>
          <w:rFonts w:ascii="Traditional Arabic" w:eastAsia="Times New Roman" w:hAnsi="Traditional Arabic" w:cs="Traditional Arabic" w:hint="cs"/>
          <w:color w:val="000000"/>
          <w:sz w:val="36"/>
          <w:szCs w:val="36"/>
          <w:rtl/>
          <w:lang w:eastAsia="ar-SA" w:bidi="ar-EG"/>
        </w:rPr>
        <w:t xml:space="preserve">: "لا خلاف في أنه إذا نوى وقرن النية بقول أو فعل هو من خصائص الإحرام أو دلائله أنه يصير محرما، بأن لبى ناويا الحج"، قال: "وروي عنه أنه لا يصير محرما إلا بلفظ التلبية، كما لا </w:t>
      </w:r>
      <w:r w:rsidRPr="00DB47BD">
        <w:rPr>
          <w:rFonts w:ascii="Traditional Arabic" w:eastAsia="Times New Roman" w:hAnsi="Traditional Arabic" w:cs="Traditional Arabic" w:hint="cs"/>
          <w:color w:val="000000"/>
          <w:sz w:val="36"/>
          <w:szCs w:val="36"/>
          <w:rtl/>
          <w:lang w:eastAsia="ar-SA" w:bidi="ar-EG"/>
        </w:rPr>
        <w:lastRenderedPageBreak/>
        <w:t>يصير شارعا في الصلاة إلا بلفظ التكبير".</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70"/>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xml:space="preserve"> </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قال العلامة </w:t>
      </w:r>
      <w:proofErr w:type="spellStart"/>
      <w:r w:rsidRPr="00DB47BD">
        <w:rPr>
          <w:rFonts w:ascii="Traditional Arabic" w:eastAsia="Times New Roman" w:hAnsi="Traditional Arabic" w:cs="Traditional Arabic" w:hint="cs"/>
          <w:color w:val="000000"/>
          <w:sz w:val="36"/>
          <w:szCs w:val="36"/>
          <w:rtl/>
          <w:lang w:eastAsia="ar-SA" w:bidi="ar-EG"/>
        </w:rPr>
        <w:t>الدردير</w:t>
      </w:r>
      <w:proofErr w:type="spellEnd"/>
      <w:r w:rsidRPr="00DB47BD">
        <w:rPr>
          <w:rFonts w:ascii="Traditional Arabic" w:eastAsia="Times New Roman" w:hAnsi="Traditional Arabic" w:cs="Traditional Arabic" w:hint="cs"/>
          <w:color w:val="000000"/>
          <w:sz w:val="36"/>
          <w:szCs w:val="36"/>
          <w:rtl/>
          <w:lang w:eastAsia="ar-SA" w:bidi="ar-EG"/>
        </w:rPr>
        <w:t xml:space="preserve">:" الإحرام هو نية أحد النسكين مع قول أو فعل متعلقين به كالتلبية والتجرد من المخيط والراجح النية فقط".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71"/>
      </w:r>
      <w:r w:rsidRPr="00DB47BD">
        <w:rPr>
          <w:rStyle w:val="a4"/>
          <w:rFonts w:ascii="Traditional Arabic" w:hAnsi="Traditional Arabic"/>
          <w:sz w:val="36"/>
          <w:szCs w:val="36"/>
          <w:rtl/>
        </w:rPr>
        <w:t>)</w:t>
      </w:r>
      <w:r w:rsidRPr="00DB47BD">
        <w:rPr>
          <w:rFonts w:ascii="Traditional Arabic" w:eastAsia="Times New Roman" w:hAnsi="Traditional Arabic" w:cs="Traditional Arabic" w:hint="cs"/>
          <w:color w:val="000000"/>
          <w:sz w:val="36"/>
          <w:szCs w:val="36"/>
          <w:rtl/>
          <w:lang w:eastAsia="ar-SA" w:bidi="ar-EG"/>
        </w:rPr>
        <w:t xml:space="preserve">    </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واختار هذا القول ابن تيمية حيث قال: "والصحيح أن الرجل لا يكون محرما بمجرد ما في قلبه من قصد الحج ونيته فإن القصد مازال في القلب منذ خرج من بلده، بل لابد من قول أو عمل يصير به محرما".</w:t>
      </w:r>
      <w:r w:rsidRPr="00DB47BD">
        <w:rPr>
          <w:rFonts w:hint="cs"/>
          <w:sz w:val="36"/>
          <w:szCs w:val="36"/>
          <w:rtl/>
        </w:rPr>
        <w:t xml:space="preserve"> </w:t>
      </w:r>
      <w:r w:rsidRPr="00DB47BD">
        <w:rPr>
          <w:rStyle w:val="a4"/>
          <w:rFonts w:ascii="Traditional Arabic" w:hAnsi="Traditional Arabic"/>
          <w:sz w:val="36"/>
          <w:szCs w:val="36"/>
          <w:rtl/>
        </w:rPr>
        <w:t>(</w:t>
      </w:r>
      <w:r w:rsidRPr="00DB47BD">
        <w:rPr>
          <w:rStyle w:val="a4"/>
          <w:rFonts w:ascii="Traditional Arabic" w:hAnsi="Traditional Arabic"/>
          <w:sz w:val="36"/>
          <w:szCs w:val="36"/>
          <w:rtl/>
        </w:rPr>
        <w:footnoteReference w:id="72"/>
      </w:r>
      <w:r w:rsidRPr="00DB47BD">
        <w:rPr>
          <w:rStyle w:val="a4"/>
          <w:rFonts w:ascii="Traditional Arabic" w:hAnsi="Traditional Arabic"/>
          <w:sz w:val="36"/>
          <w:szCs w:val="36"/>
          <w:rtl/>
        </w:rPr>
        <w:t>)</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القول الثاني: أن الإحرام ينعقد بالنية دون التلبية وهو قول الشافعية والحنابلة.</w:t>
      </w:r>
      <w:r w:rsidRPr="00DB47BD">
        <w:rPr>
          <w:rStyle w:val="a4"/>
          <w:rFonts w:ascii="Traditional Arabic" w:hAnsi="Traditional Arabic"/>
          <w:sz w:val="36"/>
          <w:szCs w:val="36"/>
          <w:rtl/>
        </w:rPr>
        <w:t xml:space="preserve"> (</w:t>
      </w:r>
      <w:r w:rsidRPr="00DB47BD">
        <w:rPr>
          <w:rStyle w:val="a4"/>
          <w:rFonts w:ascii="Traditional Arabic" w:hAnsi="Traditional Arabic"/>
          <w:sz w:val="36"/>
          <w:szCs w:val="36"/>
          <w:rtl/>
        </w:rPr>
        <w:footnoteReference w:id="73"/>
      </w:r>
      <w:r w:rsidRPr="00DB47BD">
        <w:rPr>
          <w:rStyle w:val="a4"/>
          <w:rFonts w:ascii="Traditional Arabic" w:hAnsi="Traditional Arabic"/>
          <w:sz w:val="36"/>
          <w:szCs w:val="36"/>
          <w:rtl/>
        </w:rPr>
        <w:t>)</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والقاعدة ترجح القول الأول أنه لابد مع النية من قول أو عمل لأن الأصل أن النية تنقل إلى الأصل ولا تنقل عنه.  </w:t>
      </w:r>
    </w:p>
    <w:p w:rsidR="00CA4869" w:rsidRPr="00DB47BD" w:rsidRDefault="00CA4869" w:rsidP="00CA4869">
      <w:pPr>
        <w:widowControl w:val="0"/>
        <w:spacing w:after="0" w:line="240" w:lineRule="auto"/>
        <w:jc w:val="lowKashida"/>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الخاتمة وأبرز النتائج والتوصيات:</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وختاما فإني أحمد الله الذي لا إله إلا هو، وهو على شيء قدير، مصليا ومسلما خير الورى وأعظم من وطئ الثرى وبعد:</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فهذه نتائج هذا البحث: </w:t>
      </w:r>
    </w:p>
    <w:p w:rsidR="00CA4869" w:rsidRPr="00DB47BD" w:rsidRDefault="00CA4869" w:rsidP="00CA4869">
      <w:pPr>
        <w:pStyle w:val="a5"/>
        <w:widowControl w:val="0"/>
        <w:numPr>
          <w:ilvl w:val="0"/>
          <w:numId w:val="7"/>
        </w:numPr>
        <w:spacing w:after="0" w:line="240" w:lineRule="auto"/>
        <w:jc w:val="lowKashida"/>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أن الفقهاء رحمهم الله كثيرا </w:t>
      </w:r>
      <w:proofErr w:type="spellStart"/>
      <w:r w:rsidRPr="00DB47BD">
        <w:rPr>
          <w:rFonts w:ascii="Traditional Arabic" w:eastAsia="Times New Roman" w:hAnsi="Traditional Arabic" w:cs="Traditional Arabic" w:hint="cs"/>
          <w:color w:val="000000"/>
          <w:sz w:val="36"/>
          <w:szCs w:val="36"/>
          <w:rtl/>
          <w:lang w:eastAsia="ar-SA" w:bidi="ar-EG"/>
        </w:rPr>
        <w:t>مايعللون</w:t>
      </w:r>
      <w:proofErr w:type="spellEnd"/>
      <w:r w:rsidRPr="00DB47BD">
        <w:rPr>
          <w:rFonts w:ascii="Traditional Arabic" w:eastAsia="Times New Roman" w:hAnsi="Traditional Arabic" w:cs="Traditional Arabic" w:hint="cs"/>
          <w:color w:val="000000"/>
          <w:sz w:val="36"/>
          <w:szCs w:val="36"/>
          <w:rtl/>
          <w:lang w:eastAsia="ar-SA" w:bidi="ar-EG"/>
        </w:rPr>
        <w:t xml:space="preserve"> لأقوالهم بالقواعد والضوابط وعليه يمكن استنتاج القواعد وتوليدها وإثراء العلوم الشرعية بها، وإعمالها في الأحكام الشرعية وفق حدودها وضوابطها.</w:t>
      </w:r>
    </w:p>
    <w:p w:rsidR="00CA4869" w:rsidRPr="00DB47BD" w:rsidRDefault="00CA4869" w:rsidP="00CA4869">
      <w:pPr>
        <w:pStyle w:val="a5"/>
        <w:widowControl w:val="0"/>
        <w:numPr>
          <w:ilvl w:val="0"/>
          <w:numId w:val="7"/>
        </w:numPr>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ومنها هذه القواعد الثلاث، التي كل منها تدل على الأخرى: </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القاعدة الأولى: "أن النية سبب ضعيف ينقل إلى الأصل ولا ينقل عنه".</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فعروض القنية إذا نوى بها التجارة لا تكون للتجارة، لأن الأصل فيها القنية. </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القاعدة الثانية:" في الرد إلى الأصل يكفي مجرد النية" </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كعروض التجارة إذا نوى بها القنية انتقلت إليها مباشرة دون عمل لأن الأصل في العروض هو القنية</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القاعدة </w:t>
      </w:r>
      <w:proofErr w:type="gramStart"/>
      <w:r w:rsidRPr="00DB47BD">
        <w:rPr>
          <w:rFonts w:ascii="Traditional Arabic" w:eastAsia="Times New Roman" w:hAnsi="Traditional Arabic" w:cs="Traditional Arabic" w:hint="cs"/>
          <w:color w:val="000000"/>
          <w:sz w:val="36"/>
          <w:szCs w:val="36"/>
          <w:rtl/>
          <w:lang w:eastAsia="ar-SA" w:bidi="ar-EG"/>
        </w:rPr>
        <w:t>الثالثة :</w:t>
      </w:r>
      <w:proofErr w:type="gramEnd"/>
      <w:r w:rsidRPr="00DB47BD">
        <w:rPr>
          <w:rFonts w:ascii="Traditional Arabic" w:eastAsia="Times New Roman" w:hAnsi="Traditional Arabic" w:cs="Traditional Arabic" w:hint="cs"/>
          <w:color w:val="000000"/>
          <w:sz w:val="36"/>
          <w:szCs w:val="36"/>
          <w:rtl/>
          <w:lang w:eastAsia="ar-SA" w:bidi="ar-EG"/>
        </w:rPr>
        <w:t>"في الرد إلى غير الأصل لابد وأن يقارن النية عمل ".</w:t>
      </w:r>
    </w:p>
    <w:p w:rsidR="00CA4869" w:rsidRPr="00DB47BD" w:rsidRDefault="00CA4869" w:rsidP="00CA4869">
      <w:pPr>
        <w:widowControl w:val="0"/>
        <w:spacing w:after="0" w:line="240" w:lineRule="auto"/>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lastRenderedPageBreak/>
        <w:t xml:space="preserve">فعروض القنية إذا باع بها واشترى ونيته الربح والنماء والاستثمار وتكوين رأس مال ربحي، فإنه يكون للتجارة وفيه زكاة عروض التجارة لأنه اقترن بها عمل وعندها يصح أن تنقل النية من الأصل -وهو القنية- إلى التجارة.  </w:t>
      </w:r>
    </w:p>
    <w:p w:rsidR="00CA4869" w:rsidRPr="00DB47BD" w:rsidRDefault="00CA4869" w:rsidP="00CA4869">
      <w:pPr>
        <w:pStyle w:val="a5"/>
        <w:widowControl w:val="0"/>
        <w:numPr>
          <w:ilvl w:val="0"/>
          <w:numId w:val="7"/>
        </w:numPr>
        <w:spacing w:after="0" w:line="240" w:lineRule="auto"/>
        <w:jc w:val="lowKashida"/>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فهذه القواعد الثلاث هي مثلث له زوايا ثلاث يمكن الاستفادة منه في إثراء الجوانب الفقهية وفروعها العملية والنظر في مزيد من الأمثلة والتطبيقات.</w:t>
      </w:r>
    </w:p>
    <w:p w:rsidR="00CA4869" w:rsidRPr="00DB47BD" w:rsidRDefault="00CA4869" w:rsidP="00CA4869">
      <w:pPr>
        <w:pStyle w:val="a5"/>
        <w:widowControl w:val="0"/>
        <w:numPr>
          <w:ilvl w:val="0"/>
          <w:numId w:val="7"/>
        </w:numPr>
        <w:spacing w:after="0" w:line="240" w:lineRule="auto"/>
        <w:jc w:val="lowKashida"/>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ويوصي الباحث بالاعتناء بالقواعد الفقهية والبحث عنها في بطون الكتب، فإنه مازال هناك مزيدا من القواعد تحتاج على استخراج وتمحيص واختبار لها على الأدلة وفروع المذاهب. </w:t>
      </w:r>
    </w:p>
    <w:p w:rsidR="00CA4869" w:rsidRPr="00DB47BD" w:rsidRDefault="00CA4869" w:rsidP="00CA4869">
      <w:pPr>
        <w:widowControl w:val="0"/>
        <w:spacing w:after="0" w:line="240" w:lineRule="auto"/>
        <w:ind w:left="360"/>
        <w:jc w:val="lowKashida"/>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هذا مبلغ جهدي فإن أصبت فمن الله وإن أخطأت فمن نفسي وأسأل الله المغفرة والسداد في القول والعمل والله تعالى أعلى وأعلم وصلى الله وسلم على نبينا محمد</w:t>
      </w:r>
    </w:p>
    <w:p w:rsidR="00CA4869" w:rsidRPr="00DB47BD" w:rsidRDefault="00CA4869" w:rsidP="00CA4869">
      <w:pPr>
        <w:rPr>
          <w:rFonts w:ascii="Traditional Arabic" w:eastAsia="Times New Roman" w:hAnsi="Traditional Arabic" w:cs="Traditional Arabic"/>
          <w:b/>
          <w:bCs/>
          <w:color w:val="000000"/>
          <w:sz w:val="36"/>
          <w:szCs w:val="36"/>
          <w:rtl/>
          <w:lang w:eastAsia="ar-SA" w:bidi="ar-EG"/>
        </w:rPr>
      </w:pPr>
    </w:p>
    <w:p w:rsidR="00CA4869" w:rsidRPr="00DB47BD" w:rsidRDefault="00CA4869" w:rsidP="00CA4869">
      <w:pPr>
        <w:rPr>
          <w:rFonts w:ascii="Traditional Arabic" w:eastAsia="Times New Roman" w:hAnsi="Traditional Arabic" w:cs="Traditional Arabic"/>
          <w:b/>
          <w:bCs/>
          <w:color w:val="000000"/>
          <w:sz w:val="36"/>
          <w:szCs w:val="36"/>
          <w:rtl/>
          <w:lang w:eastAsia="ar-SA" w:bidi="ar-EG"/>
        </w:rPr>
      </w:pPr>
    </w:p>
    <w:p w:rsidR="00CA4869" w:rsidRPr="00DB47BD" w:rsidRDefault="00CA4869" w:rsidP="00CA4869">
      <w:pPr>
        <w:rPr>
          <w:rFonts w:ascii="Traditional Arabic" w:eastAsia="Times New Roman" w:hAnsi="Traditional Arabic" w:cs="Traditional Arabic"/>
          <w:b/>
          <w:bCs/>
          <w:color w:val="000000"/>
          <w:sz w:val="36"/>
          <w:szCs w:val="36"/>
          <w:rtl/>
          <w:lang w:eastAsia="ar-SA" w:bidi="ar-EG"/>
        </w:rPr>
      </w:pPr>
      <w:r w:rsidRPr="00DB47BD">
        <w:rPr>
          <w:rFonts w:ascii="Traditional Arabic" w:eastAsia="Times New Roman" w:hAnsi="Traditional Arabic" w:cs="Traditional Arabic" w:hint="cs"/>
          <w:b/>
          <w:bCs/>
          <w:color w:val="000000"/>
          <w:sz w:val="36"/>
          <w:szCs w:val="36"/>
          <w:rtl/>
          <w:lang w:eastAsia="ar-SA" w:bidi="ar-EG"/>
        </w:rPr>
        <w:t>ثبت المراجع:</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الأشباه </w:t>
      </w:r>
      <w:proofErr w:type="gramStart"/>
      <w:r w:rsidRPr="00DB47BD">
        <w:rPr>
          <w:rFonts w:ascii="Traditional Arabic" w:eastAsia="Times New Roman" w:hAnsi="Traditional Arabic" w:cs="Traditional Arabic" w:hint="cs"/>
          <w:color w:val="000000"/>
          <w:sz w:val="36"/>
          <w:szCs w:val="36"/>
          <w:rtl/>
          <w:lang w:eastAsia="ar-SA" w:bidi="ar-EG"/>
        </w:rPr>
        <w:t>والنظائر ،</w:t>
      </w:r>
      <w:proofErr w:type="gramEnd"/>
      <w:r w:rsidRPr="00DB47BD">
        <w:rPr>
          <w:rFonts w:ascii="Traditional Arabic" w:eastAsia="Times New Roman" w:hAnsi="Traditional Arabic" w:cs="Traditional Arabic" w:hint="cs"/>
          <w:color w:val="000000"/>
          <w:sz w:val="36"/>
          <w:szCs w:val="36"/>
          <w:rtl/>
          <w:lang w:eastAsia="ar-SA" w:bidi="ar-EG"/>
        </w:rPr>
        <w:t xml:space="preserve"> </w:t>
      </w:r>
      <w:proofErr w:type="spellStart"/>
      <w:r w:rsidRPr="00DB47BD">
        <w:rPr>
          <w:rFonts w:ascii="Traditional Arabic" w:eastAsia="Times New Roman" w:hAnsi="Traditional Arabic" w:cs="Traditional Arabic" w:hint="cs"/>
          <w:color w:val="000000"/>
          <w:sz w:val="36"/>
          <w:szCs w:val="36"/>
          <w:rtl/>
          <w:lang w:eastAsia="ar-SA" w:bidi="ar-EG"/>
        </w:rPr>
        <w:t>محمدبن</w:t>
      </w:r>
      <w:proofErr w:type="spellEnd"/>
      <w:r w:rsidRPr="00DB47BD">
        <w:rPr>
          <w:rFonts w:ascii="Traditional Arabic" w:eastAsia="Times New Roman" w:hAnsi="Traditional Arabic" w:cs="Traditional Arabic" w:hint="cs"/>
          <w:color w:val="000000"/>
          <w:sz w:val="36"/>
          <w:szCs w:val="36"/>
          <w:rtl/>
          <w:lang w:eastAsia="ar-SA" w:bidi="ar-EG"/>
        </w:rPr>
        <w:t xml:space="preserve"> عمر المعروف بابن الوكيل، ت:د أحمد بن محمد </w:t>
      </w:r>
      <w:proofErr w:type="spellStart"/>
      <w:r w:rsidRPr="00DB47BD">
        <w:rPr>
          <w:rFonts w:ascii="Traditional Arabic" w:eastAsia="Times New Roman" w:hAnsi="Traditional Arabic" w:cs="Traditional Arabic" w:hint="cs"/>
          <w:color w:val="000000"/>
          <w:sz w:val="36"/>
          <w:szCs w:val="36"/>
          <w:rtl/>
          <w:lang w:eastAsia="ar-SA" w:bidi="ar-EG"/>
        </w:rPr>
        <w:t>العنقري،مكتبة</w:t>
      </w:r>
      <w:proofErr w:type="spellEnd"/>
      <w:r w:rsidRPr="00DB47BD">
        <w:rPr>
          <w:rFonts w:ascii="Traditional Arabic" w:eastAsia="Times New Roman" w:hAnsi="Traditional Arabic" w:cs="Traditional Arabic" w:hint="cs"/>
          <w:color w:val="000000"/>
          <w:sz w:val="36"/>
          <w:szCs w:val="36"/>
          <w:rtl/>
          <w:lang w:eastAsia="ar-SA" w:bidi="ar-EG"/>
        </w:rPr>
        <w:t xml:space="preserve"> الرشد الرياض، (ط:1) 1413ه.</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الإنصاف في معرفة الراجح من الخلاف، علاء الدين </w:t>
      </w:r>
      <w:proofErr w:type="spellStart"/>
      <w:r w:rsidRPr="00DB47BD">
        <w:rPr>
          <w:rFonts w:ascii="Traditional Arabic" w:eastAsia="Times New Roman" w:hAnsi="Traditional Arabic" w:cs="Traditional Arabic" w:hint="cs"/>
          <w:color w:val="000000"/>
          <w:sz w:val="36"/>
          <w:szCs w:val="36"/>
          <w:rtl/>
          <w:lang w:eastAsia="ar-SA" w:bidi="ar-EG"/>
        </w:rPr>
        <w:t>المرداوي</w:t>
      </w:r>
      <w:proofErr w:type="spellEnd"/>
      <w:r w:rsidRPr="00DB47BD">
        <w:rPr>
          <w:rFonts w:ascii="Traditional Arabic" w:eastAsia="Times New Roman" w:hAnsi="Traditional Arabic" w:cs="Traditional Arabic" w:hint="cs"/>
          <w:color w:val="000000"/>
          <w:sz w:val="36"/>
          <w:szCs w:val="36"/>
          <w:rtl/>
          <w:lang w:eastAsia="ar-SA" w:bidi="ar-EG"/>
        </w:rPr>
        <w:t xml:space="preserve"> بهامش الشرح الكبير، ت: د عبد الله التركي، دار هجر القاهرة، (ط:1</w:t>
      </w:r>
      <w:proofErr w:type="gramStart"/>
      <w:r w:rsidRPr="00DB47BD">
        <w:rPr>
          <w:rFonts w:ascii="Traditional Arabic" w:eastAsia="Times New Roman" w:hAnsi="Traditional Arabic" w:cs="Traditional Arabic" w:hint="cs"/>
          <w:color w:val="000000"/>
          <w:sz w:val="36"/>
          <w:szCs w:val="36"/>
          <w:rtl/>
          <w:lang w:eastAsia="ar-SA" w:bidi="ar-EG"/>
        </w:rPr>
        <w:t>)  1415</w:t>
      </w:r>
      <w:proofErr w:type="gramEnd"/>
      <w:r w:rsidRPr="00DB47BD">
        <w:rPr>
          <w:rFonts w:ascii="Traditional Arabic" w:eastAsia="Times New Roman" w:hAnsi="Traditional Arabic" w:cs="Traditional Arabic" w:hint="cs"/>
          <w:color w:val="000000"/>
          <w:sz w:val="36"/>
          <w:szCs w:val="36"/>
          <w:rtl/>
          <w:lang w:eastAsia="ar-SA" w:bidi="ar-EG"/>
        </w:rPr>
        <w:t xml:space="preserve"> ه. </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أنيس الفقهاء في تعريفات الألفا المتداولة بين الفقهاء، تأليف قاسم </w:t>
      </w:r>
      <w:proofErr w:type="spellStart"/>
      <w:r w:rsidRPr="00DB47BD">
        <w:rPr>
          <w:rFonts w:ascii="Traditional Arabic" w:eastAsia="Times New Roman" w:hAnsi="Traditional Arabic" w:cs="Traditional Arabic" w:hint="cs"/>
          <w:color w:val="000000"/>
          <w:sz w:val="36"/>
          <w:szCs w:val="36"/>
          <w:rtl/>
          <w:lang w:eastAsia="ar-SA" w:bidi="ar-EG"/>
        </w:rPr>
        <w:t>القونوي</w:t>
      </w:r>
      <w:proofErr w:type="spellEnd"/>
      <w:r w:rsidRPr="00DB47BD">
        <w:rPr>
          <w:rFonts w:ascii="Traditional Arabic" w:eastAsia="Times New Roman" w:hAnsi="Traditional Arabic" w:cs="Traditional Arabic" w:hint="cs"/>
          <w:color w:val="000000"/>
          <w:sz w:val="36"/>
          <w:szCs w:val="36"/>
          <w:rtl/>
          <w:lang w:eastAsia="ar-SA" w:bidi="ar-EG"/>
        </w:rPr>
        <w:t xml:space="preserve">، دار الوفاء </w:t>
      </w:r>
      <w:proofErr w:type="gramStart"/>
      <w:r w:rsidRPr="00DB47BD">
        <w:rPr>
          <w:rFonts w:ascii="Traditional Arabic" w:eastAsia="Times New Roman" w:hAnsi="Traditional Arabic" w:cs="Traditional Arabic" w:hint="cs"/>
          <w:color w:val="000000"/>
          <w:sz w:val="36"/>
          <w:szCs w:val="36"/>
          <w:rtl/>
          <w:lang w:eastAsia="ar-SA" w:bidi="ar-EG"/>
        </w:rPr>
        <w:t>السعودية؛(</w:t>
      </w:r>
      <w:proofErr w:type="gramEnd"/>
      <w:r w:rsidRPr="00DB47BD">
        <w:rPr>
          <w:rFonts w:ascii="Traditional Arabic" w:eastAsia="Times New Roman" w:hAnsi="Traditional Arabic" w:cs="Traditional Arabic" w:hint="cs"/>
          <w:color w:val="000000"/>
          <w:sz w:val="36"/>
          <w:szCs w:val="36"/>
          <w:rtl/>
          <w:lang w:eastAsia="ar-SA" w:bidi="ar-EG"/>
        </w:rPr>
        <w:t>ط:1)1406 ه .</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بدائع الصنائع في ترتيب الشرائع، علاء الدين </w:t>
      </w:r>
      <w:proofErr w:type="spellStart"/>
      <w:r w:rsidRPr="00DB47BD">
        <w:rPr>
          <w:rFonts w:ascii="Traditional Arabic" w:eastAsia="Times New Roman" w:hAnsi="Traditional Arabic" w:cs="Traditional Arabic" w:hint="cs"/>
          <w:color w:val="000000"/>
          <w:sz w:val="36"/>
          <w:szCs w:val="36"/>
          <w:rtl/>
          <w:lang w:eastAsia="ar-SA" w:bidi="ar-EG"/>
        </w:rPr>
        <w:t>الكاساني</w:t>
      </w:r>
      <w:proofErr w:type="spellEnd"/>
      <w:r w:rsidRPr="00DB47BD">
        <w:rPr>
          <w:rFonts w:ascii="Traditional Arabic" w:eastAsia="Times New Roman" w:hAnsi="Traditional Arabic" w:cs="Traditional Arabic" w:hint="cs"/>
          <w:color w:val="000000"/>
          <w:sz w:val="36"/>
          <w:szCs w:val="36"/>
          <w:rtl/>
          <w:lang w:eastAsia="ar-SA" w:bidi="ar-EG"/>
        </w:rPr>
        <w:t xml:space="preserve">، المكتبة العلمية، بيروت </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التعريفات الفقهية (معجم)، المفتي محمد عميم الإحسان </w:t>
      </w:r>
      <w:proofErr w:type="spellStart"/>
      <w:r w:rsidRPr="00DB47BD">
        <w:rPr>
          <w:rFonts w:ascii="Traditional Arabic" w:eastAsia="Times New Roman" w:hAnsi="Traditional Arabic" w:cs="Traditional Arabic" w:hint="cs"/>
          <w:color w:val="000000"/>
          <w:sz w:val="36"/>
          <w:szCs w:val="36"/>
          <w:rtl/>
          <w:lang w:eastAsia="ar-SA" w:bidi="ar-EG"/>
        </w:rPr>
        <w:t>البركتي</w:t>
      </w:r>
      <w:proofErr w:type="spellEnd"/>
      <w:r w:rsidRPr="00DB47BD">
        <w:rPr>
          <w:rFonts w:ascii="Traditional Arabic" w:eastAsia="Times New Roman" w:hAnsi="Traditional Arabic" w:cs="Traditional Arabic" w:hint="cs"/>
          <w:color w:val="000000"/>
          <w:sz w:val="36"/>
          <w:szCs w:val="36"/>
          <w:rtl/>
          <w:lang w:eastAsia="ar-SA" w:bidi="ar-EG"/>
        </w:rPr>
        <w:t xml:space="preserve">، مير محمد كتب خانة، </w:t>
      </w:r>
      <w:proofErr w:type="spellStart"/>
      <w:r w:rsidRPr="00DB47BD">
        <w:rPr>
          <w:rFonts w:ascii="Traditional Arabic" w:eastAsia="Times New Roman" w:hAnsi="Traditional Arabic" w:cs="Traditional Arabic" w:hint="cs"/>
          <w:color w:val="000000"/>
          <w:sz w:val="36"/>
          <w:szCs w:val="36"/>
          <w:rtl/>
          <w:lang w:eastAsia="ar-SA" w:bidi="ar-EG"/>
        </w:rPr>
        <w:t>لايوجد</w:t>
      </w:r>
      <w:proofErr w:type="spellEnd"/>
      <w:r w:rsidRPr="00DB47BD">
        <w:rPr>
          <w:rFonts w:ascii="Traditional Arabic" w:eastAsia="Times New Roman" w:hAnsi="Traditional Arabic" w:cs="Traditional Arabic" w:hint="cs"/>
          <w:color w:val="000000"/>
          <w:sz w:val="36"/>
          <w:szCs w:val="36"/>
          <w:rtl/>
          <w:lang w:eastAsia="ar-SA" w:bidi="ar-EG"/>
        </w:rPr>
        <w:t xml:space="preserve"> تاريخ ولا مكان النشر.</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lastRenderedPageBreak/>
        <w:t xml:space="preserve">التوضيح شرح مختصر ابن الحاجب الفرعي (جامع الأمهات)، خليل بن إسحاق المالكي، أطروحة علمية؛ ت: د. وليد بن </w:t>
      </w:r>
      <w:proofErr w:type="gramStart"/>
      <w:r w:rsidRPr="00DB47BD">
        <w:rPr>
          <w:rFonts w:ascii="Traditional Arabic" w:eastAsia="Times New Roman" w:hAnsi="Traditional Arabic" w:cs="Traditional Arabic" w:hint="cs"/>
          <w:color w:val="000000"/>
          <w:sz w:val="36"/>
          <w:szCs w:val="36"/>
          <w:rtl/>
          <w:lang w:eastAsia="ar-SA" w:bidi="ar-EG"/>
        </w:rPr>
        <w:t>عبدالرحمن</w:t>
      </w:r>
      <w:proofErr w:type="gramEnd"/>
      <w:r w:rsidRPr="00DB47BD">
        <w:rPr>
          <w:rFonts w:ascii="Traditional Arabic" w:eastAsia="Times New Roman" w:hAnsi="Traditional Arabic" w:cs="Traditional Arabic" w:hint="cs"/>
          <w:color w:val="000000"/>
          <w:sz w:val="36"/>
          <w:szCs w:val="36"/>
          <w:rtl/>
          <w:lang w:eastAsia="ar-SA" w:bidi="ar-EG"/>
        </w:rPr>
        <w:t xml:space="preserve"> الحمدان.</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جامع العلوم والحكم، ابن رجب الحنبلي، ت: شعيب </w:t>
      </w:r>
      <w:proofErr w:type="spellStart"/>
      <w:r w:rsidRPr="00DB47BD">
        <w:rPr>
          <w:rFonts w:ascii="Traditional Arabic" w:eastAsia="Times New Roman" w:hAnsi="Traditional Arabic" w:cs="Traditional Arabic" w:hint="cs"/>
          <w:color w:val="000000"/>
          <w:sz w:val="36"/>
          <w:szCs w:val="36"/>
          <w:rtl/>
          <w:lang w:eastAsia="ar-SA" w:bidi="ar-EG"/>
        </w:rPr>
        <w:t>الأرنؤوط</w:t>
      </w:r>
      <w:proofErr w:type="spellEnd"/>
      <w:r w:rsidRPr="00DB47BD">
        <w:rPr>
          <w:rFonts w:ascii="Traditional Arabic" w:eastAsia="Times New Roman" w:hAnsi="Traditional Arabic" w:cs="Traditional Arabic" w:hint="cs"/>
          <w:color w:val="000000"/>
          <w:sz w:val="36"/>
          <w:szCs w:val="36"/>
          <w:rtl/>
          <w:lang w:eastAsia="ar-SA" w:bidi="ar-EG"/>
        </w:rPr>
        <w:t xml:space="preserve"> وإبراهيم باجس، مؤسسة الرسالة بيوت، (ط:2) 1412ه.   </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جامع الأمهات -المختصر الفرعي-، جمال الدين ابن الحاجب المالكي، </w:t>
      </w:r>
      <w:proofErr w:type="gramStart"/>
      <w:r w:rsidRPr="00DB47BD">
        <w:rPr>
          <w:rFonts w:ascii="Traditional Arabic" w:eastAsia="Times New Roman" w:hAnsi="Traditional Arabic" w:cs="Traditional Arabic" w:hint="cs"/>
          <w:color w:val="000000"/>
          <w:sz w:val="36"/>
          <w:szCs w:val="36"/>
          <w:rtl/>
          <w:lang w:eastAsia="ar-SA" w:bidi="ar-EG"/>
        </w:rPr>
        <w:t>ت:أبو</w:t>
      </w:r>
      <w:proofErr w:type="gramEnd"/>
      <w:r w:rsidRPr="00DB47BD">
        <w:rPr>
          <w:rFonts w:ascii="Traditional Arabic" w:eastAsia="Times New Roman" w:hAnsi="Traditional Arabic" w:cs="Traditional Arabic" w:hint="cs"/>
          <w:color w:val="000000"/>
          <w:sz w:val="36"/>
          <w:szCs w:val="36"/>
          <w:rtl/>
          <w:lang w:eastAsia="ar-SA" w:bidi="ar-EG"/>
        </w:rPr>
        <w:t xml:space="preserve"> عبدالرحمن </w:t>
      </w:r>
      <w:proofErr w:type="spellStart"/>
      <w:r w:rsidRPr="00DB47BD">
        <w:rPr>
          <w:rFonts w:ascii="Traditional Arabic" w:eastAsia="Times New Roman" w:hAnsi="Traditional Arabic" w:cs="Traditional Arabic" w:hint="cs"/>
          <w:color w:val="000000"/>
          <w:sz w:val="36"/>
          <w:szCs w:val="36"/>
          <w:rtl/>
          <w:lang w:eastAsia="ar-SA" w:bidi="ar-EG"/>
        </w:rPr>
        <w:t>الأخضري،اليمامة</w:t>
      </w:r>
      <w:proofErr w:type="spellEnd"/>
      <w:r w:rsidRPr="00DB47BD">
        <w:rPr>
          <w:rFonts w:ascii="Traditional Arabic" w:eastAsia="Times New Roman" w:hAnsi="Traditional Arabic" w:cs="Traditional Arabic" w:hint="cs"/>
          <w:color w:val="000000"/>
          <w:sz w:val="36"/>
          <w:szCs w:val="36"/>
          <w:rtl/>
          <w:lang w:eastAsia="ar-SA" w:bidi="ar-EG"/>
        </w:rPr>
        <w:t xml:space="preserve"> للنشر والتوزيع، (ط:1)1419 ه  </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رد المحتار على الدر المختار، ابن عابدين، مكتبة الحلبي البابي، مصر(ط:3) 1404ه</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الروض المربع شرح زاد المستقنع مع حاشية ابن قاسم، منصور </w:t>
      </w:r>
      <w:proofErr w:type="spellStart"/>
      <w:proofErr w:type="gramStart"/>
      <w:r w:rsidRPr="00DB47BD">
        <w:rPr>
          <w:rFonts w:ascii="Traditional Arabic" w:eastAsia="Times New Roman" w:hAnsi="Traditional Arabic" w:cs="Traditional Arabic" w:hint="cs"/>
          <w:color w:val="000000"/>
          <w:sz w:val="36"/>
          <w:szCs w:val="36"/>
          <w:rtl/>
          <w:lang w:eastAsia="ar-SA" w:bidi="ar-EG"/>
        </w:rPr>
        <w:t>البهوتي</w:t>
      </w:r>
      <w:proofErr w:type="spellEnd"/>
      <w:r w:rsidRPr="00DB47BD">
        <w:rPr>
          <w:rFonts w:ascii="Traditional Arabic" w:eastAsia="Times New Roman" w:hAnsi="Traditional Arabic" w:cs="Traditional Arabic" w:hint="cs"/>
          <w:color w:val="000000"/>
          <w:sz w:val="36"/>
          <w:szCs w:val="36"/>
          <w:rtl/>
          <w:lang w:eastAsia="ar-SA" w:bidi="ar-EG"/>
        </w:rPr>
        <w:t>،(</w:t>
      </w:r>
      <w:proofErr w:type="gramEnd"/>
      <w:r w:rsidRPr="00DB47BD">
        <w:rPr>
          <w:rFonts w:ascii="Traditional Arabic" w:eastAsia="Times New Roman" w:hAnsi="Traditional Arabic" w:cs="Traditional Arabic" w:hint="cs"/>
          <w:color w:val="000000"/>
          <w:sz w:val="36"/>
          <w:szCs w:val="36"/>
          <w:rtl/>
          <w:lang w:eastAsia="ar-SA" w:bidi="ar-EG"/>
        </w:rPr>
        <w:t>ط:3) 1405ه</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الشرح الكبير، شمس الدين أبي الفرج المقدسي، ت: د عبد الله التركي، دار </w:t>
      </w:r>
      <w:proofErr w:type="spellStart"/>
      <w:r w:rsidRPr="00DB47BD">
        <w:rPr>
          <w:rFonts w:ascii="Traditional Arabic" w:eastAsia="Times New Roman" w:hAnsi="Traditional Arabic" w:cs="Traditional Arabic" w:hint="cs"/>
          <w:color w:val="000000"/>
          <w:sz w:val="36"/>
          <w:szCs w:val="36"/>
          <w:rtl/>
          <w:lang w:eastAsia="ar-SA" w:bidi="ar-EG"/>
        </w:rPr>
        <w:t>هجرالقاهرة</w:t>
      </w:r>
      <w:proofErr w:type="spellEnd"/>
      <w:r w:rsidRPr="00DB47BD">
        <w:rPr>
          <w:rFonts w:ascii="Traditional Arabic" w:eastAsia="Times New Roman" w:hAnsi="Traditional Arabic" w:cs="Traditional Arabic" w:hint="cs"/>
          <w:color w:val="000000"/>
          <w:sz w:val="36"/>
          <w:szCs w:val="36"/>
          <w:rtl/>
          <w:lang w:eastAsia="ar-SA" w:bidi="ar-EG"/>
        </w:rPr>
        <w:t>، (ط:1</w:t>
      </w:r>
      <w:proofErr w:type="gramStart"/>
      <w:r w:rsidRPr="00DB47BD">
        <w:rPr>
          <w:rFonts w:ascii="Traditional Arabic" w:eastAsia="Times New Roman" w:hAnsi="Traditional Arabic" w:cs="Traditional Arabic" w:hint="cs"/>
          <w:color w:val="000000"/>
          <w:sz w:val="36"/>
          <w:szCs w:val="36"/>
          <w:rtl/>
          <w:lang w:eastAsia="ar-SA" w:bidi="ar-EG"/>
        </w:rPr>
        <w:t>)  1415</w:t>
      </w:r>
      <w:proofErr w:type="gramEnd"/>
      <w:r w:rsidRPr="00DB47BD">
        <w:rPr>
          <w:rFonts w:ascii="Traditional Arabic" w:eastAsia="Times New Roman" w:hAnsi="Traditional Arabic" w:cs="Traditional Arabic" w:hint="cs"/>
          <w:color w:val="000000"/>
          <w:sz w:val="36"/>
          <w:szCs w:val="36"/>
          <w:rtl/>
          <w:lang w:eastAsia="ar-SA" w:bidi="ar-EG"/>
        </w:rPr>
        <w:t xml:space="preserve"> ه. </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شرح الزركشي على الخرقي، شمس الدين الزركشي الحنبلي، ت: الشيخ عبد الله بن جبرين؛ مكتبة العبيكان الرياض، (ط:1) 1413</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الشرح الكبير مع حاشية الدسوقي، العلامة أبو البركات أحمد </w:t>
      </w:r>
      <w:proofErr w:type="spellStart"/>
      <w:r w:rsidRPr="00DB47BD">
        <w:rPr>
          <w:rFonts w:ascii="Traditional Arabic" w:eastAsia="Times New Roman" w:hAnsi="Traditional Arabic" w:cs="Traditional Arabic" w:hint="cs"/>
          <w:color w:val="000000"/>
          <w:sz w:val="36"/>
          <w:szCs w:val="36"/>
          <w:rtl/>
          <w:lang w:eastAsia="ar-SA" w:bidi="ar-EG"/>
        </w:rPr>
        <w:t>الدردير</w:t>
      </w:r>
      <w:proofErr w:type="spellEnd"/>
      <w:r w:rsidRPr="00DB47BD">
        <w:rPr>
          <w:rFonts w:ascii="Traditional Arabic" w:eastAsia="Times New Roman" w:hAnsi="Traditional Arabic" w:cs="Traditional Arabic" w:hint="cs"/>
          <w:color w:val="000000"/>
          <w:sz w:val="36"/>
          <w:szCs w:val="36"/>
          <w:rtl/>
          <w:lang w:eastAsia="ar-SA" w:bidi="ar-EG"/>
        </w:rPr>
        <w:t xml:space="preserve">، دار إحياء الكتب العربية، مكتبة البابي الحلبي، </w:t>
      </w:r>
      <w:proofErr w:type="spellStart"/>
      <w:r w:rsidRPr="00DB47BD">
        <w:rPr>
          <w:rFonts w:ascii="Traditional Arabic" w:eastAsia="Times New Roman" w:hAnsi="Traditional Arabic" w:cs="Traditional Arabic" w:hint="cs"/>
          <w:color w:val="000000"/>
          <w:sz w:val="36"/>
          <w:szCs w:val="36"/>
          <w:rtl/>
          <w:lang w:eastAsia="ar-SA" w:bidi="ar-EG"/>
        </w:rPr>
        <w:t>لايةجد</w:t>
      </w:r>
      <w:proofErr w:type="spellEnd"/>
      <w:r w:rsidRPr="00DB47BD">
        <w:rPr>
          <w:rFonts w:ascii="Traditional Arabic" w:eastAsia="Times New Roman" w:hAnsi="Traditional Arabic" w:cs="Traditional Arabic" w:hint="cs"/>
          <w:color w:val="000000"/>
          <w:sz w:val="36"/>
          <w:szCs w:val="36"/>
          <w:rtl/>
          <w:lang w:eastAsia="ar-SA" w:bidi="ar-EG"/>
        </w:rPr>
        <w:t xml:space="preserve"> رقم طبعة ولا تاريخها.</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القواعد، أبي عبد الله المقري، ت: أحمد بن </w:t>
      </w:r>
      <w:proofErr w:type="gramStart"/>
      <w:r w:rsidRPr="00DB47BD">
        <w:rPr>
          <w:rFonts w:ascii="Traditional Arabic" w:eastAsia="Times New Roman" w:hAnsi="Traditional Arabic" w:cs="Traditional Arabic" w:hint="cs"/>
          <w:color w:val="000000"/>
          <w:sz w:val="36"/>
          <w:szCs w:val="36"/>
          <w:rtl/>
          <w:lang w:eastAsia="ar-SA" w:bidi="ar-EG"/>
        </w:rPr>
        <w:t>عبدالله</w:t>
      </w:r>
      <w:proofErr w:type="gramEnd"/>
      <w:r w:rsidRPr="00DB47BD">
        <w:rPr>
          <w:rFonts w:ascii="Traditional Arabic" w:eastAsia="Times New Roman" w:hAnsi="Traditional Arabic" w:cs="Traditional Arabic" w:hint="cs"/>
          <w:color w:val="000000"/>
          <w:sz w:val="36"/>
          <w:szCs w:val="36"/>
          <w:rtl/>
          <w:lang w:eastAsia="ar-SA" w:bidi="ar-EG"/>
        </w:rPr>
        <w:t xml:space="preserve"> بن حميد، جامعة أم القرى مكة المكرمة. </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عقد </w:t>
      </w:r>
      <w:proofErr w:type="spellStart"/>
      <w:r w:rsidRPr="00DB47BD">
        <w:rPr>
          <w:rFonts w:ascii="Traditional Arabic" w:eastAsia="Times New Roman" w:hAnsi="Traditional Arabic" w:cs="Traditional Arabic" w:hint="cs"/>
          <w:color w:val="000000"/>
          <w:sz w:val="36"/>
          <w:szCs w:val="36"/>
          <w:rtl/>
          <w:lang w:eastAsia="ar-SA" w:bidi="ar-EG"/>
        </w:rPr>
        <w:t>الجواهرالثمينة</w:t>
      </w:r>
      <w:proofErr w:type="spellEnd"/>
      <w:r w:rsidRPr="00DB47BD">
        <w:rPr>
          <w:rFonts w:ascii="Traditional Arabic" w:eastAsia="Times New Roman" w:hAnsi="Traditional Arabic" w:cs="Traditional Arabic" w:hint="cs"/>
          <w:color w:val="000000"/>
          <w:sz w:val="36"/>
          <w:szCs w:val="36"/>
          <w:rtl/>
          <w:lang w:eastAsia="ar-SA" w:bidi="ar-EG"/>
        </w:rPr>
        <w:t xml:space="preserve"> في مذهب عالم المدينة، جلال الدين ابن شاس المالكي، دار الغرب (ط:1)1415ه.</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كشاف القناع، منصور </w:t>
      </w:r>
      <w:proofErr w:type="spellStart"/>
      <w:r w:rsidRPr="00DB47BD">
        <w:rPr>
          <w:rFonts w:ascii="Traditional Arabic" w:eastAsia="Times New Roman" w:hAnsi="Traditional Arabic" w:cs="Traditional Arabic" w:hint="cs"/>
          <w:color w:val="000000"/>
          <w:sz w:val="36"/>
          <w:szCs w:val="36"/>
          <w:rtl/>
          <w:lang w:eastAsia="ar-SA" w:bidi="ar-EG"/>
        </w:rPr>
        <w:t>البهوتي</w:t>
      </w:r>
      <w:proofErr w:type="spellEnd"/>
      <w:r w:rsidRPr="00DB47BD">
        <w:rPr>
          <w:rFonts w:ascii="Traditional Arabic" w:eastAsia="Times New Roman" w:hAnsi="Traditional Arabic" w:cs="Traditional Arabic" w:hint="cs"/>
          <w:color w:val="000000"/>
          <w:sz w:val="36"/>
          <w:szCs w:val="36"/>
          <w:rtl/>
          <w:lang w:eastAsia="ar-SA" w:bidi="ar-EG"/>
        </w:rPr>
        <w:t xml:space="preserve">، ت: هلال </w:t>
      </w:r>
      <w:proofErr w:type="spellStart"/>
      <w:r w:rsidRPr="00DB47BD">
        <w:rPr>
          <w:rFonts w:ascii="Traditional Arabic" w:eastAsia="Times New Roman" w:hAnsi="Traditional Arabic" w:cs="Traditional Arabic" w:hint="cs"/>
          <w:color w:val="000000"/>
          <w:sz w:val="36"/>
          <w:szCs w:val="36"/>
          <w:rtl/>
          <w:lang w:eastAsia="ar-SA" w:bidi="ar-EG"/>
        </w:rPr>
        <w:t>مصيلحي</w:t>
      </w:r>
      <w:proofErr w:type="spellEnd"/>
      <w:r w:rsidRPr="00DB47BD">
        <w:rPr>
          <w:rFonts w:ascii="Traditional Arabic" w:eastAsia="Times New Roman" w:hAnsi="Traditional Arabic" w:cs="Traditional Arabic" w:hint="cs"/>
          <w:color w:val="000000"/>
          <w:sz w:val="36"/>
          <w:szCs w:val="36"/>
          <w:rtl/>
          <w:lang w:eastAsia="ar-SA" w:bidi="ar-EG"/>
        </w:rPr>
        <w:t xml:space="preserve">، مكتبة النصر الحديثة، الرياض، </w:t>
      </w:r>
      <w:proofErr w:type="spellStart"/>
      <w:r w:rsidRPr="00DB47BD">
        <w:rPr>
          <w:rFonts w:ascii="Traditional Arabic" w:eastAsia="Times New Roman" w:hAnsi="Traditional Arabic" w:cs="Traditional Arabic" w:hint="cs"/>
          <w:color w:val="000000"/>
          <w:sz w:val="36"/>
          <w:szCs w:val="36"/>
          <w:rtl/>
          <w:lang w:eastAsia="ar-SA" w:bidi="ar-EG"/>
        </w:rPr>
        <w:t>لايوجد</w:t>
      </w:r>
      <w:proofErr w:type="spellEnd"/>
      <w:r w:rsidRPr="00DB47BD">
        <w:rPr>
          <w:rFonts w:ascii="Traditional Arabic" w:eastAsia="Times New Roman" w:hAnsi="Traditional Arabic" w:cs="Traditional Arabic" w:hint="cs"/>
          <w:color w:val="000000"/>
          <w:sz w:val="36"/>
          <w:szCs w:val="36"/>
          <w:rtl/>
          <w:lang w:eastAsia="ar-SA" w:bidi="ar-EG"/>
        </w:rPr>
        <w:t xml:space="preserve"> رقم الطبعة ولا تاريخ الطبع. </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لسان العرب، جمال الدين ابن منظور المصري، دار الفكر بيروت، (ط:1) 1410ه</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المجموع شرح المهذب بهامشه فتح العزيز، يحيى بن شرف النووي، دار الفكر، </w:t>
      </w:r>
      <w:proofErr w:type="spellStart"/>
      <w:r w:rsidRPr="00DB47BD">
        <w:rPr>
          <w:rFonts w:ascii="Traditional Arabic" w:eastAsia="Times New Roman" w:hAnsi="Traditional Arabic" w:cs="Traditional Arabic" w:hint="cs"/>
          <w:color w:val="000000"/>
          <w:sz w:val="36"/>
          <w:szCs w:val="36"/>
          <w:rtl/>
          <w:lang w:eastAsia="ar-SA" w:bidi="ar-EG"/>
        </w:rPr>
        <w:t>لايوجد</w:t>
      </w:r>
      <w:proofErr w:type="spellEnd"/>
      <w:r w:rsidRPr="00DB47BD">
        <w:rPr>
          <w:rFonts w:ascii="Traditional Arabic" w:eastAsia="Times New Roman" w:hAnsi="Traditional Arabic" w:cs="Traditional Arabic" w:hint="cs"/>
          <w:color w:val="000000"/>
          <w:sz w:val="36"/>
          <w:szCs w:val="36"/>
          <w:rtl/>
          <w:lang w:eastAsia="ar-SA" w:bidi="ar-EG"/>
        </w:rPr>
        <w:t xml:space="preserve"> تاريخ الطبعة ولا رقمها.</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lastRenderedPageBreak/>
        <w:t>معلمة زايد للقواعد الفقهية والأصولية، إشراف الدكتور محمد الروكي، الناشر مؤسسة زايد بن سلطان آل نهيان للأعمال الخيرية والإنسانية، الطبعة الأولى 1434ه.</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المنثور في </w:t>
      </w:r>
      <w:proofErr w:type="spellStart"/>
      <w:proofErr w:type="gramStart"/>
      <w:r w:rsidRPr="00DB47BD">
        <w:rPr>
          <w:rFonts w:ascii="Traditional Arabic" w:eastAsia="Times New Roman" w:hAnsi="Traditional Arabic" w:cs="Traditional Arabic" w:hint="cs"/>
          <w:color w:val="000000"/>
          <w:sz w:val="36"/>
          <w:szCs w:val="36"/>
          <w:rtl/>
          <w:lang w:eastAsia="ar-SA" w:bidi="ar-EG"/>
        </w:rPr>
        <w:t>القواعد،بدر</w:t>
      </w:r>
      <w:proofErr w:type="spellEnd"/>
      <w:proofErr w:type="gramEnd"/>
      <w:r w:rsidRPr="00DB47BD">
        <w:rPr>
          <w:rFonts w:ascii="Traditional Arabic" w:eastAsia="Times New Roman" w:hAnsi="Traditional Arabic" w:cs="Traditional Arabic" w:hint="cs"/>
          <w:color w:val="000000"/>
          <w:sz w:val="36"/>
          <w:szCs w:val="36"/>
          <w:rtl/>
          <w:lang w:eastAsia="ar-SA" w:bidi="ar-EG"/>
        </w:rPr>
        <w:t xml:space="preserve"> الدين الزركشي، مصورة عن الطبعة الأولى 1402ه</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المحلى، ابن حزم الظاهري، ت: أحمد شاكر، مكتبة دار التراث، القاهرة، </w:t>
      </w:r>
      <w:proofErr w:type="spellStart"/>
      <w:r w:rsidRPr="00DB47BD">
        <w:rPr>
          <w:rFonts w:ascii="Traditional Arabic" w:eastAsia="Times New Roman" w:hAnsi="Traditional Arabic" w:cs="Traditional Arabic" w:hint="cs"/>
          <w:color w:val="000000"/>
          <w:sz w:val="36"/>
          <w:szCs w:val="36"/>
          <w:rtl/>
          <w:lang w:eastAsia="ar-SA" w:bidi="ar-EG"/>
        </w:rPr>
        <w:t>لايوجد</w:t>
      </w:r>
      <w:proofErr w:type="spellEnd"/>
      <w:r w:rsidRPr="00DB47BD">
        <w:rPr>
          <w:rFonts w:ascii="Traditional Arabic" w:eastAsia="Times New Roman" w:hAnsi="Traditional Arabic" w:cs="Traditional Arabic" w:hint="cs"/>
          <w:color w:val="000000"/>
          <w:sz w:val="36"/>
          <w:szCs w:val="36"/>
          <w:rtl/>
          <w:lang w:eastAsia="ar-SA" w:bidi="ar-EG"/>
        </w:rPr>
        <w:t xml:space="preserve"> تاريخ طبع ولا رقمها.</w:t>
      </w:r>
    </w:p>
    <w:p w:rsidR="00CA4869" w:rsidRPr="00DB47BD" w:rsidRDefault="00CA4869" w:rsidP="00CA4869">
      <w:pPr>
        <w:pStyle w:val="a5"/>
        <w:numPr>
          <w:ilvl w:val="0"/>
          <w:numId w:val="6"/>
        </w:numPr>
        <w:spacing w:after="0" w:line="240" w:lineRule="auto"/>
        <w:jc w:val="lowKashida"/>
        <w:rPr>
          <w:rFonts w:ascii="Calibri" w:eastAsia="Times New Roman" w:hAnsi="Calibri" w:cs="Traditional Arabic"/>
          <w:sz w:val="36"/>
          <w:szCs w:val="36"/>
        </w:rPr>
      </w:pPr>
      <w:r w:rsidRPr="00DB47BD">
        <w:rPr>
          <w:rFonts w:ascii="Calibri" w:eastAsia="Times New Roman" w:hAnsi="Calibri" w:cs="Traditional Arabic" w:hint="cs"/>
          <w:sz w:val="36"/>
          <w:szCs w:val="36"/>
          <w:rtl/>
        </w:rPr>
        <w:t xml:space="preserve">- المصباح المنير في غريب الشرح الكبير للرافعي. الفيومي، أحمد بن محمد المقري، (ط.1)، لبنان، دار الكتب العلمية، 1414هـ. </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المقدمات الممهدات، أبو الوليد بن رشد الجد، ت: الدكتور محمد حجي، دار الغرب، بيروت، (ط:1</w:t>
      </w:r>
      <w:proofErr w:type="gramStart"/>
      <w:r w:rsidRPr="00DB47BD">
        <w:rPr>
          <w:rFonts w:ascii="Traditional Arabic" w:eastAsia="Times New Roman" w:hAnsi="Traditional Arabic" w:cs="Traditional Arabic" w:hint="cs"/>
          <w:color w:val="000000"/>
          <w:sz w:val="36"/>
          <w:szCs w:val="36"/>
          <w:rtl/>
          <w:lang w:eastAsia="ar-SA" w:bidi="ar-EG"/>
        </w:rPr>
        <w:t>)  1408</w:t>
      </w:r>
      <w:proofErr w:type="gramEnd"/>
      <w:r w:rsidRPr="00DB47BD">
        <w:rPr>
          <w:rFonts w:ascii="Traditional Arabic" w:eastAsia="Times New Roman" w:hAnsi="Traditional Arabic" w:cs="Traditional Arabic" w:hint="cs"/>
          <w:color w:val="000000"/>
          <w:sz w:val="36"/>
          <w:szCs w:val="36"/>
          <w:rtl/>
          <w:lang w:eastAsia="ar-SA" w:bidi="ar-EG"/>
        </w:rPr>
        <w:t>ه.</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المغني شرح مختصر الخرقي، موفق الدين ابن قدامة المقدسي، </w:t>
      </w:r>
      <w:proofErr w:type="gramStart"/>
      <w:r w:rsidRPr="00DB47BD">
        <w:rPr>
          <w:rFonts w:ascii="Traditional Arabic" w:eastAsia="Times New Roman" w:hAnsi="Traditional Arabic" w:cs="Traditional Arabic" w:hint="cs"/>
          <w:color w:val="000000"/>
          <w:sz w:val="36"/>
          <w:szCs w:val="36"/>
          <w:rtl/>
          <w:lang w:eastAsia="ar-SA" w:bidi="ar-EG"/>
        </w:rPr>
        <w:t>ت:د</w:t>
      </w:r>
      <w:proofErr w:type="gramEnd"/>
      <w:r w:rsidRPr="00DB47BD">
        <w:rPr>
          <w:rFonts w:ascii="Traditional Arabic" w:eastAsia="Times New Roman" w:hAnsi="Traditional Arabic" w:cs="Traditional Arabic" w:hint="cs"/>
          <w:color w:val="000000"/>
          <w:sz w:val="36"/>
          <w:szCs w:val="36"/>
          <w:rtl/>
          <w:lang w:eastAsia="ar-SA" w:bidi="ar-EG"/>
        </w:rPr>
        <w:t xml:space="preserve"> عبدالله التركي، مصر، دار هجر، (ط:1408)</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مغني المحتاج إلى معرفة معاني ألفاظ المنهاج للنووي، محمد الخطيب الشربيني، دار الفكر، بيروت، </w:t>
      </w:r>
      <w:proofErr w:type="spellStart"/>
      <w:r w:rsidRPr="00DB47BD">
        <w:rPr>
          <w:rFonts w:ascii="Traditional Arabic" w:eastAsia="Times New Roman" w:hAnsi="Traditional Arabic" w:cs="Traditional Arabic" w:hint="cs"/>
          <w:color w:val="000000"/>
          <w:sz w:val="36"/>
          <w:szCs w:val="36"/>
          <w:rtl/>
          <w:lang w:eastAsia="ar-SA" w:bidi="ar-EG"/>
        </w:rPr>
        <w:t>لايوجد</w:t>
      </w:r>
      <w:proofErr w:type="spellEnd"/>
      <w:r w:rsidRPr="00DB47BD">
        <w:rPr>
          <w:rFonts w:ascii="Traditional Arabic" w:eastAsia="Times New Roman" w:hAnsi="Traditional Arabic" w:cs="Traditional Arabic" w:hint="cs"/>
          <w:color w:val="000000"/>
          <w:sz w:val="36"/>
          <w:szCs w:val="36"/>
          <w:rtl/>
          <w:lang w:eastAsia="ar-SA" w:bidi="ar-EG"/>
        </w:rPr>
        <w:t xml:space="preserve"> سنة النشر ولا رقم الطبعة.</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منهاج الطالبين بهامشه مغني المحتاج، محيي الدين يحيى بن شرف النووي، دار الفكر  </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المنتقى شرح الموطأ، أبو الوليد الباجي، دار الكتاب العربي، بيروت، مصورة من الطبعة الأولى 1330ه.</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مقاييس اللغة، أحمد بن فارس، ت: شهاب الدين أبو عمرو، بيروت، دار </w:t>
      </w:r>
      <w:proofErr w:type="gramStart"/>
      <w:r w:rsidRPr="00DB47BD">
        <w:rPr>
          <w:rFonts w:ascii="Traditional Arabic" w:eastAsia="Times New Roman" w:hAnsi="Traditional Arabic" w:cs="Traditional Arabic" w:hint="cs"/>
          <w:color w:val="000000"/>
          <w:sz w:val="36"/>
          <w:szCs w:val="36"/>
          <w:rtl/>
          <w:lang w:eastAsia="ar-SA" w:bidi="ar-EG"/>
        </w:rPr>
        <w:t>الفكر،(</w:t>
      </w:r>
      <w:proofErr w:type="gramEnd"/>
      <w:r w:rsidRPr="00DB47BD">
        <w:rPr>
          <w:rFonts w:ascii="Traditional Arabic" w:eastAsia="Times New Roman" w:hAnsi="Traditional Arabic" w:cs="Traditional Arabic" w:hint="cs"/>
          <w:color w:val="000000"/>
          <w:sz w:val="36"/>
          <w:szCs w:val="36"/>
          <w:rtl/>
          <w:lang w:eastAsia="ar-SA" w:bidi="ar-EG"/>
        </w:rPr>
        <w:t>ط:2) 1418ه</w:t>
      </w:r>
    </w:p>
    <w:p w:rsidR="00CA4869" w:rsidRPr="00DB47BD"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  النهاية في غريب الحديث والأثر، مجد الدين ابن الأثير. دار الفكر، بيروت، </w:t>
      </w:r>
      <w:proofErr w:type="spellStart"/>
      <w:r w:rsidRPr="00DB47BD">
        <w:rPr>
          <w:rFonts w:ascii="Traditional Arabic" w:eastAsia="Times New Roman" w:hAnsi="Traditional Arabic" w:cs="Traditional Arabic" w:hint="cs"/>
          <w:color w:val="000000"/>
          <w:sz w:val="36"/>
          <w:szCs w:val="36"/>
          <w:rtl/>
          <w:lang w:eastAsia="ar-SA" w:bidi="ar-EG"/>
        </w:rPr>
        <w:t>لايوجد</w:t>
      </w:r>
      <w:proofErr w:type="spellEnd"/>
      <w:r w:rsidRPr="00DB47BD">
        <w:rPr>
          <w:rFonts w:ascii="Traditional Arabic" w:eastAsia="Times New Roman" w:hAnsi="Traditional Arabic" w:cs="Traditional Arabic" w:hint="cs"/>
          <w:color w:val="000000"/>
          <w:sz w:val="36"/>
          <w:szCs w:val="36"/>
          <w:rtl/>
          <w:lang w:eastAsia="ar-SA" w:bidi="ar-EG"/>
        </w:rPr>
        <w:t xml:space="preserve"> رقم الطبعة، سنة الطبع 1399ه.</w:t>
      </w:r>
    </w:p>
    <w:p w:rsidR="00CA4869" w:rsidRPr="00CA4869" w:rsidRDefault="00CA4869" w:rsidP="00CA4869">
      <w:pPr>
        <w:pStyle w:val="a5"/>
        <w:numPr>
          <w:ilvl w:val="0"/>
          <w:numId w:val="6"/>
        </w:numPr>
        <w:spacing w:after="160" w:line="259" w:lineRule="auto"/>
        <w:rPr>
          <w:rFonts w:ascii="Traditional Arabic" w:eastAsia="Times New Roman" w:hAnsi="Traditional Arabic" w:cs="Traditional Arabic"/>
          <w:color w:val="000000"/>
          <w:sz w:val="36"/>
          <w:szCs w:val="36"/>
          <w:rtl/>
          <w:lang w:eastAsia="ar-SA" w:bidi="ar-EG"/>
        </w:rPr>
      </w:pPr>
      <w:r w:rsidRPr="00DB47BD">
        <w:rPr>
          <w:rFonts w:ascii="Traditional Arabic" w:eastAsia="Times New Roman" w:hAnsi="Traditional Arabic" w:cs="Traditional Arabic" w:hint="cs"/>
          <w:color w:val="000000"/>
          <w:sz w:val="36"/>
          <w:szCs w:val="36"/>
          <w:rtl/>
          <w:lang w:eastAsia="ar-SA" w:bidi="ar-EG"/>
        </w:rPr>
        <w:t xml:space="preserve">النية وأثرها في الأحكام الشرعية، </w:t>
      </w:r>
      <w:proofErr w:type="spellStart"/>
      <w:proofErr w:type="gramStart"/>
      <w:r w:rsidRPr="00DB47BD">
        <w:rPr>
          <w:rFonts w:ascii="Traditional Arabic" w:eastAsia="Times New Roman" w:hAnsi="Traditional Arabic" w:cs="Traditional Arabic" w:hint="cs"/>
          <w:color w:val="000000"/>
          <w:sz w:val="36"/>
          <w:szCs w:val="36"/>
          <w:rtl/>
          <w:lang w:eastAsia="ar-SA" w:bidi="ar-EG"/>
        </w:rPr>
        <w:t>د.صالح</w:t>
      </w:r>
      <w:proofErr w:type="spellEnd"/>
      <w:proofErr w:type="gramEnd"/>
      <w:r w:rsidRPr="00DB47BD">
        <w:rPr>
          <w:rFonts w:ascii="Traditional Arabic" w:eastAsia="Times New Roman" w:hAnsi="Traditional Arabic" w:cs="Traditional Arabic" w:hint="cs"/>
          <w:color w:val="000000"/>
          <w:sz w:val="36"/>
          <w:szCs w:val="36"/>
          <w:rtl/>
          <w:lang w:eastAsia="ar-SA" w:bidi="ar-EG"/>
        </w:rPr>
        <w:t xml:space="preserve"> السدلان، الرياض، دار عالم الكتب (ط:2) 1414</w:t>
      </w:r>
    </w:p>
    <w:p w:rsidR="00DE1F69" w:rsidRDefault="00DE1F69"/>
    <w:sectPr w:rsidR="00DE1F69" w:rsidSect="00424DF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95EDD" w:rsidRDefault="00D95EDD" w:rsidP="00CA4869">
      <w:pPr>
        <w:spacing w:after="0" w:line="240" w:lineRule="auto"/>
      </w:pPr>
      <w:r>
        <w:separator/>
      </w:r>
    </w:p>
  </w:endnote>
  <w:endnote w:type="continuationSeparator" w:id="0">
    <w:p w:rsidR="00D95EDD" w:rsidRDefault="00D95EDD" w:rsidP="00CA4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T Bold Heading">
    <w:panose1 w:val="0201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95EDD" w:rsidRDefault="00D95EDD" w:rsidP="00CA4869">
      <w:pPr>
        <w:spacing w:after="0" w:line="240" w:lineRule="auto"/>
      </w:pPr>
      <w:r>
        <w:separator/>
      </w:r>
    </w:p>
  </w:footnote>
  <w:footnote w:type="continuationSeparator" w:id="0">
    <w:p w:rsidR="00D95EDD" w:rsidRDefault="00D95EDD" w:rsidP="00CA4869">
      <w:pPr>
        <w:spacing w:after="0" w:line="240" w:lineRule="auto"/>
      </w:pPr>
      <w:r>
        <w:continuationSeparator/>
      </w:r>
    </w:p>
  </w:footnote>
  <w:footnote w:id="1">
    <w:p w:rsidR="00CA4869" w:rsidRPr="00DB47BD" w:rsidRDefault="00CA4869" w:rsidP="00CA4869">
      <w:pPr>
        <w:pStyle w:val="a3"/>
        <w:jc w:val="lowKashida"/>
        <w:rPr>
          <w:sz w:val="28"/>
          <w:szCs w:val="28"/>
        </w:rPr>
      </w:pPr>
      <w:r w:rsidRPr="00DB47BD">
        <w:rPr>
          <w:rFonts w:hint="cs"/>
          <w:sz w:val="28"/>
          <w:szCs w:val="28"/>
          <w:rtl/>
        </w:rPr>
        <w:t xml:space="preserve">  </w:t>
      </w: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المنثور في القواعد (3/298-299).</w:t>
      </w:r>
    </w:p>
  </w:footnote>
  <w:footnote w:id="2">
    <w:p w:rsidR="00CA4869" w:rsidRPr="00DB47BD" w:rsidRDefault="00CA4869" w:rsidP="00CA4869">
      <w:pPr>
        <w:pStyle w:val="a3"/>
        <w:jc w:val="lowKashida"/>
        <w:rPr>
          <w:sz w:val="28"/>
          <w:szCs w:val="28"/>
          <w:rtl/>
        </w:rPr>
      </w:pPr>
      <w:r w:rsidRPr="00DB47BD">
        <w:rPr>
          <w:rFonts w:hint="cs"/>
          <w:sz w:val="28"/>
          <w:szCs w:val="28"/>
          <w:rtl/>
        </w:rPr>
        <w:t xml:space="preserve">  </w:t>
      </w: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معلمة زايد (6/152-162). وثمة زيادات في هذه الدراسة على ما جاء في معلمة </w:t>
      </w:r>
      <w:proofErr w:type="gramStart"/>
      <w:r w:rsidRPr="00DB47BD">
        <w:rPr>
          <w:rFonts w:hint="cs"/>
          <w:sz w:val="28"/>
          <w:szCs w:val="28"/>
          <w:rtl/>
        </w:rPr>
        <w:t>زايد :</w:t>
      </w:r>
      <w:proofErr w:type="gramEnd"/>
    </w:p>
    <w:p w:rsidR="00CA4869" w:rsidRPr="00DB47BD" w:rsidRDefault="00CA4869" w:rsidP="00CA4869">
      <w:pPr>
        <w:pStyle w:val="a3"/>
        <w:widowControl w:val="0"/>
        <w:numPr>
          <w:ilvl w:val="0"/>
          <w:numId w:val="9"/>
        </w:numPr>
        <w:jc w:val="lowKashida"/>
        <w:rPr>
          <w:sz w:val="28"/>
          <w:szCs w:val="28"/>
        </w:rPr>
      </w:pPr>
      <w:r w:rsidRPr="00DB47BD">
        <w:rPr>
          <w:rFonts w:hint="cs"/>
          <w:sz w:val="28"/>
          <w:szCs w:val="28"/>
          <w:rtl/>
        </w:rPr>
        <w:t xml:space="preserve">لم يذكر في معلمة زايد سبب كون النية تنقل إلى الأصل </w:t>
      </w:r>
      <w:proofErr w:type="spellStart"/>
      <w:r w:rsidRPr="00DB47BD">
        <w:rPr>
          <w:rFonts w:hint="cs"/>
          <w:sz w:val="28"/>
          <w:szCs w:val="28"/>
          <w:rtl/>
        </w:rPr>
        <w:t>ولاتنقل</w:t>
      </w:r>
      <w:proofErr w:type="spellEnd"/>
      <w:r w:rsidRPr="00DB47BD">
        <w:rPr>
          <w:rFonts w:hint="cs"/>
          <w:sz w:val="28"/>
          <w:szCs w:val="28"/>
          <w:rtl/>
        </w:rPr>
        <w:t xml:space="preserve"> منه، وأن علة ذلك كونها سببا ضعيفا، وهذا فارق </w:t>
      </w:r>
      <w:proofErr w:type="gramStart"/>
      <w:r w:rsidRPr="00DB47BD">
        <w:rPr>
          <w:rFonts w:hint="cs"/>
          <w:sz w:val="28"/>
          <w:szCs w:val="28"/>
          <w:rtl/>
        </w:rPr>
        <w:t>مؤثر  وفوت</w:t>
      </w:r>
      <w:proofErr w:type="gramEnd"/>
      <w:r w:rsidRPr="00DB47BD">
        <w:rPr>
          <w:rFonts w:hint="cs"/>
          <w:sz w:val="28"/>
          <w:szCs w:val="28"/>
          <w:rtl/>
        </w:rPr>
        <w:t xml:space="preserve"> جوهري.</w:t>
      </w:r>
    </w:p>
    <w:p w:rsidR="00CA4869" w:rsidRPr="00DB47BD" w:rsidRDefault="00CA4869" w:rsidP="00CA4869">
      <w:pPr>
        <w:pStyle w:val="a3"/>
        <w:widowControl w:val="0"/>
        <w:numPr>
          <w:ilvl w:val="0"/>
          <w:numId w:val="9"/>
        </w:numPr>
        <w:jc w:val="lowKashida"/>
        <w:rPr>
          <w:sz w:val="28"/>
          <w:szCs w:val="28"/>
        </w:rPr>
      </w:pPr>
      <w:r w:rsidRPr="00DB47BD">
        <w:rPr>
          <w:rFonts w:hint="cs"/>
          <w:sz w:val="28"/>
          <w:szCs w:val="28"/>
          <w:rtl/>
        </w:rPr>
        <w:t>التطبيقات في هذه الدراسة أوضح وأبين.</w:t>
      </w:r>
    </w:p>
    <w:p w:rsidR="00CA4869" w:rsidRPr="00DB47BD" w:rsidRDefault="00CA4869" w:rsidP="00CA4869">
      <w:pPr>
        <w:pStyle w:val="a3"/>
        <w:widowControl w:val="0"/>
        <w:numPr>
          <w:ilvl w:val="0"/>
          <w:numId w:val="9"/>
        </w:numPr>
        <w:jc w:val="lowKashida"/>
        <w:rPr>
          <w:sz w:val="28"/>
          <w:szCs w:val="28"/>
        </w:rPr>
      </w:pPr>
      <w:r w:rsidRPr="00DB47BD">
        <w:rPr>
          <w:rFonts w:hint="cs"/>
          <w:sz w:val="28"/>
          <w:szCs w:val="28"/>
          <w:rtl/>
        </w:rPr>
        <w:t>الاستدلال للقاعدة بأدلة ظاهرة في هذه الدراسة.</w:t>
      </w:r>
    </w:p>
    <w:p w:rsidR="00CA4869" w:rsidRPr="00DB47BD" w:rsidRDefault="00CA4869" w:rsidP="00CA4869">
      <w:pPr>
        <w:pStyle w:val="a3"/>
        <w:widowControl w:val="0"/>
        <w:numPr>
          <w:ilvl w:val="0"/>
          <w:numId w:val="9"/>
        </w:numPr>
        <w:jc w:val="lowKashida"/>
        <w:rPr>
          <w:sz w:val="28"/>
          <w:szCs w:val="28"/>
        </w:rPr>
      </w:pPr>
      <w:r w:rsidRPr="00DB47BD">
        <w:rPr>
          <w:rFonts w:hint="cs"/>
          <w:sz w:val="28"/>
          <w:szCs w:val="28"/>
          <w:rtl/>
        </w:rPr>
        <w:t>علاقة هذه القاعدة بقاعدة: (الأصل في الأمور الطارئة العدم) والاستدلال بهذه القاعدة عليها وقد وجدت في هذه الدراسة ولم توجد في المعلمة.</w:t>
      </w:r>
    </w:p>
    <w:p w:rsidR="00CA4869" w:rsidRPr="00DB47BD" w:rsidRDefault="00CA4869" w:rsidP="00CA4869">
      <w:pPr>
        <w:pStyle w:val="a3"/>
        <w:widowControl w:val="0"/>
        <w:numPr>
          <w:ilvl w:val="0"/>
          <w:numId w:val="9"/>
        </w:numPr>
        <w:jc w:val="lowKashida"/>
        <w:rPr>
          <w:sz w:val="28"/>
          <w:szCs w:val="28"/>
        </w:rPr>
      </w:pPr>
      <w:r w:rsidRPr="00DB47BD">
        <w:rPr>
          <w:rFonts w:hint="cs"/>
          <w:sz w:val="28"/>
          <w:szCs w:val="28"/>
          <w:rtl/>
        </w:rPr>
        <w:t>علاقة هذه القاعدة بقاعدة :(الأمور بمقاصدها) وأنها مقيدة لها ذكرت في هذه الدراسة ولم تذكر في المعلمة.</w:t>
      </w:r>
    </w:p>
    <w:p w:rsidR="00CA4869" w:rsidRPr="00DB47BD" w:rsidRDefault="00CA4869" w:rsidP="00CA4869">
      <w:pPr>
        <w:pStyle w:val="a3"/>
        <w:widowControl w:val="0"/>
        <w:numPr>
          <w:ilvl w:val="0"/>
          <w:numId w:val="9"/>
        </w:numPr>
        <w:jc w:val="lowKashida"/>
        <w:rPr>
          <w:sz w:val="28"/>
          <w:szCs w:val="28"/>
          <w:rtl/>
        </w:rPr>
      </w:pPr>
      <w:r w:rsidRPr="00DB47BD">
        <w:rPr>
          <w:rFonts w:hint="cs"/>
          <w:sz w:val="28"/>
          <w:szCs w:val="28"/>
          <w:rtl/>
        </w:rPr>
        <w:t xml:space="preserve">أن مصادر القاعدة في هذه الدراسة تعتبر ذات أصالة بالنسبة للمذهب المالكي وكذلك بقية المذاهب، كالتوضيح لخليل ابن إسحاق والمغني لابن قدامة وبدائع الصنائع </w:t>
      </w:r>
      <w:proofErr w:type="spellStart"/>
      <w:r w:rsidRPr="00DB47BD">
        <w:rPr>
          <w:rFonts w:hint="cs"/>
          <w:sz w:val="28"/>
          <w:szCs w:val="28"/>
          <w:rtl/>
        </w:rPr>
        <w:t>للكاساني</w:t>
      </w:r>
      <w:proofErr w:type="spellEnd"/>
      <w:r w:rsidRPr="00DB47BD">
        <w:rPr>
          <w:rFonts w:hint="cs"/>
          <w:sz w:val="28"/>
          <w:szCs w:val="28"/>
          <w:rtl/>
        </w:rPr>
        <w:t xml:space="preserve"> ومغني المحتاج فهذه صفوة كتب المذاهب.</w:t>
      </w:r>
    </w:p>
    <w:p w:rsidR="00CA4869" w:rsidRPr="00DB47BD" w:rsidRDefault="00CA4869" w:rsidP="00CA4869">
      <w:pPr>
        <w:pStyle w:val="a3"/>
        <w:ind w:left="785"/>
        <w:jc w:val="lowKashida"/>
        <w:rPr>
          <w:sz w:val="28"/>
          <w:szCs w:val="28"/>
          <w:rtl/>
        </w:rPr>
      </w:pPr>
      <w:r w:rsidRPr="00DB47BD">
        <w:rPr>
          <w:rFonts w:hint="cs"/>
          <w:sz w:val="28"/>
          <w:szCs w:val="28"/>
          <w:rtl/>
        </w:rPr>
        <w:t>والحقيقة أن عرضهم وجهدهم مميز إلا أنهم فاتتهم هذه الأمور.</w:t>
      </w:r>
    </w:p>
    <w:p w:rsidR="00CA4869" w:rsidRPr="00DB47BD" w:rsidRDefault="00CA4869" w:rsidP="00CA4869">
      <w:pPr>
        <w:pStyle w:val="a3"/>
        <w:jc w:val="lowKashida"/>
        <w:rPr>
          <w:sz w:val="28"/>
          <w:szCs w:val="28"/>
        </w:rPr>
      </w:pPr>
    </w:p>
  </w:footnote>
  <w:footnote w:id="3">
    <w:p w:rsidR="00CA4869" w:rsidRPr="00DB47BD" w:rsidRDefault="00CA4869" w:rsidP="00CA4869">
      <w:pPr>
        <w:pStyle w:val="a3"/>
        <w:jc w:val="lowKashida"/>
        <w:rPr>
          <w:sz w:val="28"/>
          <w:szCs w:val="28"/>
        </w:rPr>
      </w:pPr>
      <w:r w:rsidRPr="00DB47BD">
        <w:rPr>
          <w:rFonts w:hint="cs"/>
          <w:sz w:val="28"/>
          <w:szCs w:val="28"/>
          <w:rtl/>
        </w:rPr>
        <w:t xml:space="preserve">  </w:t>
      </w: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قواعد المقري (2/505)، تكلم على القاعدة في بضعة أسطر حيث اختصرها، وأشار إلى بعض الأمثلة إشارة مقتضبة، ولم يذكر أن السبب ضعف النية.</w:t>
      </w:r>
    </w:p>
  </w:footnote>
  <w:footnote w:id="4">
    <w:p w:rsidR="00CA4869" w:rsidRPr="00DB47BD" w:rsidRDefault="00CA4869" w:rsidP="00CA4869">
      <w:pPr>
        <w:pStyle w:val="a3"/>
        <w:jc w:val="lowKashida"/>
        <w:rPr>
          <w:sz w:val="28"/>
          <w:szCs w:val="28"/>
        </w:rPr>
      </w:pPr>
      <w:r w:rsidRPr="00DB47BD">
        <w:rPr>
          <w:rFonts w:hint="cs"/>
          <w:sz w:val="28"/>
          <w:szCs w:val="28"/>
          <w:rtl/>
        </w:rPr>
        <w:t xml:space="preserve">  </w:t>
      </w: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مقاييس اللغة لابن فارس، (1002).</w:t>
      </w:r>
    </w:p>
  </w:footnote>
  <w:footnote w:id="5">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جامع العلوم والحكم (1/65). </w:t>
      </w:r>
    </w:p>
  </w:footnote>
  <w:footnote w:id="6">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التعريفات الفقهية (مجموعة قواعد الفقه) ص (537) مادة (نوى).</w:t>
      </w:r>
    </w:p>
  </w:footnote>
  <w:footnote w:id="7">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جامع العلوم والحكم (1/66) شرح الحديث الأول</w:t>
      </w:r>
    </w:p>
  </w:footnote>
  <w:footnote w:id="8">
    <w:p w:rsidR="00CA4869" w:rsidRPr="00DB47BD" w:rsidRDefault="00CA4869" w:rsidP="00CA4869">
      <w:pPr>
        <w:pStyle w:val="a3"/>
        <w:jc w:val="lowKashida"/>
        <w:rPr>
          <w:sz w:val="28"/>
          <w:szCs w:val="28"/>
        </w:rPr>
      </w:pPr>
      <w:r w:rsidRPr="00DB47BD">
        <w:rPr>
          <w:rFonts w:hint="cs"/>
          <w:sz w:val="28"/>
          <w:szCs w:val="28"/>
          <w:rtl/>
        </w:rPr>
        <w:t xml:space="preserve">  </w:t>
      </w: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لسان العرب (1/458).</w:t>
      </w:r>
    </w:p>
  </w:footnote>
  <w:footnote w:id="9">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رسالة التعريفات الفقهية (مجموعة قواعد الفقه) ص (537) مادة (نوى).</w:t>
      </w:r>
    </w:p>
  </w:footnote>
  <w:footnote w:id="10">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لسان العرب (11/16).</w:t>
      </w:r>
    </w:p>
  </w:footnote>
  <w:footnote w:id="11">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المصباح </w:t>
      </w:r>
      <w:proofErr w:type="gramStart"/>
      <w:r w:rsidRPr="00DB47BD">
        <w:rPr>
          <w:rFonts w:hint="cs"/>
          <w:sz w:val="28"/>
          <w:szCs w:val="28"/>
          <w:rtl/>
        </w:rPr>
        <w:t>المنير(</w:t>
      </w:r>
      <w:proofErr w:type="gramEnd"/>
      <w:r w:rsidRPr="00DB47BD">
        <w:rPr>
          <w:rFonts w:hint="cs"/>
          <w:sz w:val="28"/>
          <w:szCs w:val="28"/>
          <w:rtl/>
        </w:rPr>
        <w:t>1/16) مادة (أصل).</w:t>
      </w:r>
    </w:p>
  </w:footnote>
  <w:footnote w:id="12">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بدائع الصنائع </w:t>
      </w:r>
      <w:proofErr w:type="spellStart"/>
      <w:r w:rsidRPr="00DB47BD">
        <w:rPr>
          <w:rFonts w:hint="cs"/>
          <w:sz w:val="28"/>
          <w:szCs w:val="28"/>
          <w:rtl/>
        </w:rPr>
        <w:t>للكاساني</w:t>
      </w:r>
      <w:proofErr w:type="spellEnd"/>
      <w:r w:rsidRPr="00DB47BD">
        <w:rPr>
          <w:rFonts w:hint="cs"/>
          <w:sz w:val="28"/>
          <w:szCs w:val="28"/>
          <w:rtl/>
        </w:rPr>
        <w:t xml:space="preserve"> (2/ 21). </w:t>
      </w:r>
    </w:p>
  </w:footnote>
  <w:footnote w:id="13">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جامع الأمهات -المختصر الفرعي- (148).</w:t>
      </w:r>
    </w:p>
  </w:footnote>
  <w:footnote w:id="14">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التوضيح شرح مختصر ابن الحاجب لخليل بن إسحاق المالكي (2/767)</w:t>
      </w:r>
    </w:p>
  </w:footnote>
  <w:footnote w:id="15">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حاشية الدسوقي على الشرح </w:t>
      </w:r>
      <w:proofErr w:type="gramStart"/>
      <w:r w:rsidRPr="00DB47BD">
        <w:rPr>
          <w:rFonts w:hint="cs"/>
          <w:sz w:val="28"/>
          <w:szCs w:val="28"/>
          <w:rtl/>
        </w:rPr>
        <w:t>الكبير(</w:t>
      </w:r>
      <w:proofErr w:type="gramEnd"/>
      <w:r w:rsidRPr="00DB47BD">
        <w:rPr>
          <w:rFonts w:hint="cs"/>
          <w:sz w:val="28"/>
          <w:szCs w:val="28"/>
          <w:rtl/>
        </w:rPr>
        <w:t>1/476).</w:t>
      </w:r>
    </w:p>
  </w:footnote>
  <w:footnote w:id="16">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بدائع الصنائع </w:t>
      </w:r>
      <w:proofErr w:type="spellStart"/>
      <w:r w:rsidRPr="00DB47BD">
        <w:rPr>
          <w:rFonts w:hint="cs"/>
          <w:sz w:val="28"/>
          <w:szCs w:val="28"/>
          <w:rtl/>
        </w:rPr>
        <w:t>للكاساني</w:t>
      </w:r>
      <w:proofErr w:type="spellEnd"/>
      <w:r w:rsidRPr="00DB47BD">
        <w:rPr>
          <w:rFonts w:hint="cs"/>
          <w:sz w:val="28"/>
          <w:szCs w:val="28"/>
          <w:rtl/>
        </w:rPr>
        <w:t xml:space="preserve"> (2/ 21). </w:t>
      </w:r>
    </w:p>
  </w:footnote>
  <w:footnote w:id="17">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منهاج الطالبين للنووي مع مغني المحتاج للشربيني (1/398). </w:t>
      </w:r>
    </w:p>
  </w:footnote>
  <w:footnote w:id="18">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المنثور في القواعد للزركشي الشافعي (3/298-299).</w:t>
      </w:r>
    </w:p>
  </w:footnote>
  <w:footnote w:id="19">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المغني لابن قدامة (4/ 257). </w:t>
      </w:r>
    </w:p>
  </w:footnote>
  <w:footnote w:id="20">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نفائس المجالس قواعد وفوائد فقهية وأصولية من الشيخ عبد الله ابن غديان إعداد د وليد الحمدان </w:t>
      </w:r>
      <w:proofErr w:type="gramStart"/>
      <w:r w:rsidRPr="00DB47BD">
        <w:rPr>
          <w:rFonts w:hint="cs"/>
          <w:sz w:val="28"/>
          <w:szCs w:val="28"/>
          <w:rtl/>
        </w:rPr>
        <w:t>ص(</w:t>
      </w:r>
      <w:proofErr w:type="gramEnd"/>
      <w:r w:rsidRPr="00DB47BD">
        <w:rPr>
          <w:rFonts w:hint="cs"/>
          <w:sz w:val="28"/>
          <w:szCs w:val="28"/>
          <w:rtl/>
        </w:rPr>
        <w:t xml:space="preserve">17). </w:t>
      </w:r>
    </w:p>
  </w:footnote>
  <w:footnote w:id="21">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خرجه البخاري في صحيحه، كتاب بدء الوحي، باب كيف كان بدء الوحي إلى رسول الله صلى الله عليه </w:t>
      </w:r>
      <w:proofErr w:type="gramStart"/>
      <w:r w:rsidRPr="00DB47BD">
        <w:rPr>
          <w:rFonts w:hint="cs"/>
          <w:sz w:val="28"/>
          <w:szCs w:val="28"/>
          <w:rtl/>
        </w:rPr>
        <w:t>وسلم(</w:t>
      </w:r>
      <w:proofErr w:type="gramEnd"/>
      <w:r w:rsidRPr="00DB47BD">
        <w:rPr>
          <w:rFonts w:hint="cs"/>
          <w:sz w:val="28"/>
          <w:szCs w:val="28"/>
          <w:rtl/>
        </w:rPr>
        <w:t xml:space="preserve">1) ومسلم في صحيحه، كتاب الإمارة، باب إنما الأعمال بالنيات (1907). </w:t>
      </w:r>
    </w:p>
  </w:footnote>
  <w:footnote w:id="22">
    <w:p w:rsidR="00CA4869" w:rsidRPr="00DB47BD" w:rsidRDefault="00CA4869" w:rsidP="00CA4869">
      <w:pPr>
        <w:rPr>
          <w:rFonts w:ascii="Traditional Arabic" w:hAnsi="Traditional Arabic" w:cs="Traditional Arabic"/>
          <w:sz w:val="28"/>
          <w:szCs w:val="28"/>
        </w:rPr>
      </w:pPr>
      <w:r w:rsidRPr="00DB47BD">
        <w:rPr>
          <w:rStyle w:val="a4"/>
          <w:rFonts w:ascii="Traditional Arabic" w:hAnsi="Traditional Arabic"/>
          <w:sz w:val="28"/>
          <w:szCs w:val="28"/>
          <w:rtl/>
        </w:rPr>
        <w:t>(</w:t>
      </w:r>
      <w:r w:rsidRPr="00DB47BD">
        <w:rPr>
          <w:rStyle w:val="a4"/>
          <w:rFonts w:ascii="Traditional Arabic" w:hAnsi="Traditional Arabic"/>
          <w:sz w:val="28"/>
          <w:szCs w:val="28"/>
          <w:rtl/>
        </w:rPr>
        <w:footnoteRef/>
      </w:r>
      <w:r w:rsidRPr="00DB47BD">
        <w:rPr>
          <w:rStyle w:val="a4"/>
          <w:rFonts w:ascii="Traditional Arabic" w:hAnsi="Traditional Arabic"/>
          <w:sz w:val="28"/>
          <w:szCs w:val="28"/>
          <w:rtl/>
        </w:rPr>
        <w:t>)</w:t>
      </w:r>
      <w:r w:rsidRPr="00DB47BD">
        <w:rPr>
          <w:rFonts w:ascii="Traditional Arabic" w:hAnsi="Traditional Arabic" w:cs="Traditional Arabic"/>
          <w:sz w:val="28"/>
          <w:szCs w:val="28"/>
          <w:rtl/>
        </w:rPr>
        <w:t xml:space="preserve"> </w:t>
      </w:r>
      <w:r w:rsidRPr="00DB47BD">
        <w:rPr>
          <w:rFonts w:ascii="Traditional Arabic" w:hAnsi="Traditional Arabic" w:cs="Traditional Arabic"/>
          <w:color w:val="666666"/>
          <w:sz w:val="28"/>
          <w:szCs w:val="28"/>
          <w:shd w:val="clear" w:color="auto" w:fill="FFFFFF"/>
          <w:rtl/>
        </w:rPr>
        <w:t>أخرجه البخاري في كتاب</w:t>
      </w:r>
      <w:r w:rsidRPr="00DB47BD">
        <w:rPr>
          <w:rFonts w:ascii="Traditional Arabic" w:hAnsi="Traditional Arabic" w:cs="Traditional Arabic" w:hint="cs"/>
          <w:color w:val="666666"/>
          <w:sz w:val="28"/>
          <w:szCs w:val="28"/>
          <w:shd w:val="clear" w:color="auto" w:fill="FFFFFF"/>
          <w:rtl/>
        </w:rPr>
        <w:t xml:space="preserve"> العتق</w:t>
      </w:r>
      <w:r w:rsidRPr="00DB47BD">
        <w:rPr>
          <w:rFonts w:ascii="Traditional Arabic" w:hAnsi="Traditional Arabic" w:cs="Traditional Arabic"/>
          <w:color w:val="666666"/>
          <w:sz w:val="28"/>
          <w:szCs w:val="28"/>
          <w:shd w:val="clear" w:color="auto" w:fill="FFFFFF"/>
          <w:rtl/>
        </w:rPr>
        <w:t>، باب</w:t>
      </w:r>
      <w:r w:rsidRPr="00DB47BD">
        <w:rPr>
          <w:rFonts w:ascii="Traditional Arabic" w:hAnsi="Traditional Arabic" w:cs="Traditional Arabic" w:hint="cs"/>
          <w:color w:val="666666"/>
          <w:sz w:val="28"/>
          <w:szCs w:val="28"/>
          <w:shd w:val="clear" w:color="auto" w:fill="FFFFFF"/>
          <w:rtl/>
        </w:rPr>
        <w:t xml:space="preserve"> الخطأ والنسيان في العتاقة والطلاق </w:t>
      </w:r>
      <w:proofErr w:type="gramStart"/>
      <w:r w:rsidRPr="00DB47BD">
        <w:rPr>
          <w:rFonts w:ascii="Traditional Arabic" w:hAnsi="Traditional Arabic" w:cs="Traditional Arabic" w:hint="cs"/>
          <w:color w:val="666666"/>
          <w:sz w:val="28"/>
          <w:szCs w:val="28"/>
          <w:shd w:val="clear" w:color="auto" w:fill="FFFFFF"/>
          <w:rtl/>
        </w:rPr>
        <w:t>ونحوه(</w:t>
      </w:r>
      <w:proofErr w:type="gramEnd"/>
      <w:r w:rsidRPr="00DB47BD">
        <w:rPr>
          <w:rFonts w:ascii="Traditional Arabic" w:hAnsi="Traditional Arabic" w:cs="Traditional Arabic" w:hint="cs"/>
          <w:color w:val="666666"/>
          <w:sz w:val="28"/>
          <w:szCs w:val="28"/>
          <w:shd w:val="clear" w:color="auto" w:fill="FFFFFF"/>
          <w:rtl/>
        </w:rPr>
        <w:t>2528)</w:t>
      </w:r>
      <w:r w:rsidRPr="00DB47BD">
        <w:rPr>
          <w:rFonts w:ascii="Traditional Arabic" w:hAnsi="Traditional Arabic" w:cs="Traditional Arabic"/>
          <w:color w:val="666666"/>
          <w:sz w:val="28"/>
          <w:szCs w:val="28"/>
          <w:shd w:val="clear" w:color="auto" w:fill="FFFFFF"/>
          <w:rtl/>
        </w:rPr>
        <w:t xml:space="preserve"> ومسلم في</w:t>
      </w:r>
      <w:r w:rsidRPr="00DB47BD">
        <w:rPr>
          <w:rFonts w:ascii="Traditional Arabic" w:hAnsi="Traditional Arabic" w:cs="Traditional Arabic" w:hint="cs"/>
          <w:color w:val="666666"/>
          <w:sz w:val="28"/>
          <w:szCs w:val="28"/>
          <w:shd w:val="clear" w:color="auto" w:fill="FFFFFF"/>
          <w:rtl/>
        </w:rPr>
        <w:t xml:space="preserve"> كتاب الإيمان،</w:t>
      </w:r>
      <w:r w:rsidRPr="00DB47BD">
        <w:rPr>
          <w:rFonts w:ascii="Traditional Arabic" w:hAnsi="Traditional Arabic" w:cs="Traditional Arabic"/>
          <w:color w:val="666666"/>
          <w:sz w:val="28"/>
          <w:szCs w:val="28"/>
          <w:shd w:val="clear" w:color="auto" w:fill="FFFFFF"/>
          <w:rtl/>
        </w:rPr>
        <w:t xml:space="preserve"> باب تجاوز الله عن حديث النفس والخواطر بالقلب إذا لم تستقر</w:t>
      </w:r>
      <w:r w:rsidRPr="00DB47BD">
        <w:rPr>
          <w:rFonts w:ascii="Traditional Arabic" w:hAnsi="Traditional Arabic" w:cs="Traditional Arabic" w:hint="cs"/>
          <w:color w:val="666666"/>
          <w:sz w:val="28"/>
          <w:szCs w:val="28"/>
          <w:shd w:val="clear" w:color="auto" w:fill="FFFFFF"/>
          <w:rtl/>
        </w:rPr>
        <w:t>(127)</w:t>
      </w:r>
      <w:r w:rsidRPr="00DB47BD">
        <w:rPr>
          <w:rFonts w:ascii="Traditional Arabic" w:hAnsi="Traditional Arabic" w:cs="Traditional Arabic"/>
          <w:color w:val="666666"/>
          <w:sz w:val="28"/>
          <w:szCs w:val="28"/>
          <w:shd w:val="clear" w:color="auto" w:fill="FFFFFF"/>
        </w:rPr>
        <w:t>.</w:t>
      </w:r>
    </w:p>
    <w:p w:rsidR="00CA4869" w:rsidRPr="00DB47BD" w:rsidRDefault="00CA4869" w:rsidP="00CA4869">
      <w:pPr>
        <w:pStyle w:val="a3"/>
        <w:jc w:val="lowKashida"/>
        <w:rPr>
          <w:sz w:val="28"/>
          <w:szCs w:val="28"/>
        </w:rPr>
      </w:pPr>
    </w:p>
  </w:footnote>
  <w:footnote w:id="23">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المغني لابن قدامة (4/ 257). </w:t>
      </w:r>
    </w:p>
  </w:footnote>
  <w:footnote w:id="24">
    <w:p w:rsidR="00CA4869" w:rsidRPr="00DB47BD" w:rsidRDefault="00CA4869" w:rsidP="00CA4869">
      <w:pPr>
        <w:pStyle w:val="a3"/>
        <w:ind w:left="510" w:hanging="510"/>
        <w:jc w:val="lowKashida"/>
        <w:rPr>
          <w:sz w:val="28"/>
          <w:szCs w:val="28"/>
          <w:rtl/>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sz w:val="28"/>
          <w:szCs w:val="28"/>
          <w:rtl/>
        </w:rPr>
        <w:t xml:space="preserve">  المنتقى لأبي الوليد </w:t>
      </w:r>
      <w:proofErr w:type="gramStart"/>
      <w:r w:rsidRPr="00DB47BD">
        <w:rPr>
          <w:sz w:val="28"/>
          <w:szCs w:val="28"/>
          <w:rtl/>
        </w:rPr>
        <w:t>الباجي(</w:t>
      </w:r>
      <w:proofErr w:type="gramEnd"/>
      <w:r w:rsidRPr="00DB47BD">
        <w:rPr>
          <w:sz w:val="28"/>
          <w:szCs w:val="28"/>
          <w:rtl/>
        </w:rPr>
        <w:t xml:space="preserve">2/120)، وينظر: المقدمات (1/285). </w:t>
      </w:r>
    </w:p>
  </w:footnote>
  <w:footnote w:id="25">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لسان العرب، مادة (عرض) (7/170). </w:t>
      </w:r>
    </w:p>
  </w:footnote>
  <w:footnote w:id="26">
    <w:p w:rsidR="00CA4869" w:rsidRPr="00DB47BD" w:rsidRDefault="00CA4869" w:rsidP="00CA4869">
      <w:pPr>
        <w:pStyle w:val="a3"/>
        <w:ind w:left="510" w:hanging="510"/>
        <w:jc w:val="lowKashida"/>
        <w:rPr>
          <w:sz w:val="28"/>
          <w:szCs w:val="28"/>
          <w:rtl/>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لسان العرب، مادة (عرض) (7/170). </w:t>
      </w:r>
    </w:p>
    <w:p w:rsidR="00CA4869" w:rsidRPr="00DB47BD" w:rsidRDefault="00CA4869" w:rsidP="00CA4869">
      <w:pPr>
        <w:pStyle w:val="a3"/>
        <w:ind w:left="510" w:hanging="510"/>
        <w:jc w:val="lowKashida"/>
        <w:rPr>
          <w:sz w:val="28"/>
          <w:szCs w:val="28"/>
        </w:rPr>
      </w:pPr>
      <w:r w:rsidRPr="00DB47BD">
        <w:rPr>
          <w:rFonts w:hint="cs"/>
          <w:sz w:val="28"/>
          <w:szCs w:val="28"/>
          <w:rtl/>
        </w:rPr>
        <w:t xml:space="preserve">والحديث رواه البخاري في صحيحه، كتاب </w:t>
      </w:r>
      <w:proofErr w:type="spellStart"/>
      <w:proofErr w:type="gramStart"/>
      <w:r w:rsidRPr="00DB47BD">
        <w:rPr>
          <w:rFonts w:hint="cs"/>
          <w:sz w:val="28"/>
          <w:szCs w:val="28"/>
          <w:rtl/>
        </w:rPr>
        <w:t>الرقاق:باب</w:t>
      </w:r>
      <w:proofErr w:type="spellEnd"/>
      <w:proofErr w:type="gramEnd"/>
      <w:r w:rsidRPr="00DB47BD">
        <w:rPr>
          <w:rFonts w:hint="cs"/>
          <w:sz w:val="28"/>
          <w:szCs w:val="28"/>
          <w:rtl/>
        </w:rPr>
        <w:t xml:space="preserve"> الغنى غنى النفس(6446) ورواه مسلم في صحيحه، كتاب الزكاة، باب ليس الغنى عن كثر العرض  (1051).</w:t>
      </w:r>
    </w:p>
  </w:footnote>
  <w:footnote w:id="27">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كشاف القناع عن متن الإقناع (2/239).</w:t>
      </w:r>
    </w:p>
  </w:footnote>
  <w:footnote w:id="28">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w:t>
      </w:r>
      <w:proofErr w:type="spellStart"/>
      <w:r w:rsidRPr="00DB47BD">
        <w:rPr>
          <w:rFonts w:hint="cs"/>
          <w:sz w:val="28"/>
          <w:szCs w:val="28"/>
          <w:rtl/>
        </w:rPr>
        <w:t>االإنصاف</w:t>
      </w:r>
      <w:proofErr w:type="spellEnd"/>
      <w:r w:rsidRPr="00DB47BD">
        <w:rPr>
          <w:rFonts w:hint="cs"/>
          <w:sz w:val="28"/>
          <w:szCs w:val="28"/>
          <w:rtl/>
        </w:rPr>
        <w:t xml:space="preserve"> مع الشرح الكبير (7/57).</w:t>
      </w:r>
    </w:p>
  </w:footnote>
  <w:footnote w:id="29">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التعريفات الفقهية محمد عميم الإحسان </w:t>
      </w:r>
      <w:proofErr w:type="spellStart"/>
      <w:r w:rsidRPr="00DB47BD">
        <w:rPr>
          <w:rFonts w:hint="cs"/>
          <w:sz w:val="28"/>
          <w:szCs w:val="28"/>
          <w:rtl/>
        </w:rPr>
        <w:t>البركتي</w:t>
      </w:r>
      <w:proofErr w:type="spellEnd"/>
      <w:r w:rsidRPr="00DB47BD">
        <w:rPr>
          <w:rFonts w:hint="cs"/>
          <w:sz w:val="28"/>
          <w:szCs w:val="28"/>
          <w:rtl/>
        </w:rPr>
        <w:t xml:space="preserve"> ضمن (مجموعة الفقه) </w:t>
      </w:r>
      <w:proofErr w:type="gramStart"/>
      <w:r w:rsidRPr="00DB47BD">
        <w:rPr>
          <w:rFonts w:hint="cs"/>
          <w:sz w:val="28"/>
          <w:szCs w:val="28"/>
          <w:rtl/>
        </w:rPr>
        <w:t>ص(</w:t>
      </w:r>
      <w:proofErr w:type="gramEnd"/>
      <w:r w:rsidRPr="00DB47BD">
        <w:rPr>
          <w:rFonts w:hint="cs"/>
          <w:sz w:val="28"/>
          <w:szCs w:val="28"/>
          <w:rtl/>
        </w:rPr>
        <w:t>219).</w:t>
      </w:r>
    </w:p>
  </w:footnote>
  <w:footnote w:id="30">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لسان العرب مادة (قنا) (7/201-202)</w:t>
      </w:r>
    </w:p>
  </w:footnote>
  <w:footnote w:id="31">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مغني المحتاج للشربيني مع منهاج الطالبين (1/398).</w:t>
      </w:r>
    </w:p>
  </w:footnote>
  <w:footnote w:id="32">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النهاية في غريب الحديث والأثر لابن الأثير (4/117)</w:t>
      </w:r>
    </w:p>
  </w:footnote>
  <w:footnote w:id="33">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الشرح الكبير لأبي الفرج ابن قدامة المقدسي (7/59) وشرح الزركشي على الخرقي (516)</w:t>
      </w:r>
    </w:p>
  </w:footnote>
  <w:footnote w:id="34">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مغني </w:t>
      </w:r>
      <w:proofErr w:type="gramStart"/>
      <w:r w:rsidRPr="00DB47BD">
        <w:rPr>
          <w:rFonts w:hint="cs"/>
          <w:sz w:val="28"/>
          <w:szCs w:val="28"/>
          <w:rtl/>
        </w:rPr>
        <w:t>المحتاج(</w:t>
      </w:r>
      <w:proofErr w:type="gramEnd"/>
      <w:r w:rsidRPr="00DB47BD">
        <w:rPr>
          <w:rFonts w:hint="cs"/>
          <w:sz w:val="28"/>
          <w:szCs w:val="28"/>
          <w:rtl/>
        </w:rPr>
        <w:t>1/398).</w:t>
      </w:r>
    </w:p>
  </w:footnote>
  <w:footnote w:id="35">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رد المحتار (2/288).</w:t>
      </w:r>
    </w:p>
  </w:footnote>
  <w:footnote w:id="36">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المنتقى (2/121) والمقدمات (1/285).</w:t>
      </w:r>
    </w:p>
  </w:footnote>
  <w:footnote w:id="37">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المنتقى لأبي الوليد الباجي (2/121).</w:t>
      </w:r>
    </w:p>
  </w:footnote>
  <w:footnote w:id="38">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الشرح الكبير (7/59)</w:t>
      </w:r>
    </w:p>
  </w:footnote>
  <w:footnote w:id="39">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المنتقى لأبي الوليد الباجي (2/121).</w:t>
      </w:r>
    </w:p>
  </w:footnote>
  <w:footnote w:id="40">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السابق والشرح </w:t>
      </w:r>
      <w:proofErr w:type="gramStart"/>
      <w:r w:rsidRPr="00DB47BD">
        <w:rPr>
          <w:rFonts w:hint="cs"/>
          <w:sz w:val="28"/>
          <w:szCs w:val="28"/>
          <w:rtl/>
        </w:rPr>
        <w:t>الكبير(</w:t>
      </w:r>
      <w:proofErr w:type="gramEnd"/>
      <w:r w:rsidRPr="00DB47BD">
        <w:rPr>
          <w:rFonts w:hint="cs"/>
          <w:sz w:val="28"/>
          <w:szCs w:val="28"/>
          <w:rtl/>
        </w:rPr>
        <w:t>7/59) .</w:t>
      </w:r>
    </w:p>
  </w:footnote>
  <w:footnote w:id="41">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w:t>
      </w:r>
      <w:proofErr w:type="gramStart"/>
      <w:r w:rsidRPr="00DB47BD">
        <w:rPr>
          <w:rFonts w:hint="cs"/>
          <w:sz w:val="28"/>
          <w:szCs w:val="28"/>
          <w:rtl/>
        </w:rPr>
        <w:t>ينظر:  الشرح</w:t>
      </w:r>
      <w:proofErr w:type="gramEnd"/>
      <w:r w:rsidRPr="00DB47BD">
        <w:rPr>
          <w:rFonts w:hint="cs"/>
          <w:sz w:val="28"/>
          <w:szCs w:val="28"/>
          <w:rtl/>
        </w:rPr>
        <w:t xml:space="preserve"> الكبير (7/59).</w:t>
      </w:r>
    </w:p>
  </w:footnote>
  <w:footnote w:id="42">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المقدمات (1/285). </w:t>
      </w:r>
      <w:bookmarkStart w:id="7" w:name="_Hlk115629875"/>
      <w:r w:rsidRPr="00DB47BD">
        <w:rPr>
          <w:rFonts w:hint="cs"/>
          <w:sz w:val="28"/>
          <w:szCs w:val="28"/>
          <w:rtl/>
        </w:rPr>
        <w:t>والتوضيح شرح مختصر ابن الحاجب (2/767-768)</w:t>
      </w:r>
      <w:bookmarkEnd w:id="7"/>
      <w:r w:rsidRPr="00DB47BD">
        <w:rPr>
          <w:rFonts w:hint="cs"/>
          <w:sz w:val="28"/>
          <w:szCs w:val="28"/>
          <w:rtl/>
        </w:rPr>
        <w:t>.</w:t>
      </w:r>
    </w:p>
  </w:footnote>
  <w:footnote w:id="43">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الشرح الكبير لأبي الفرج </w:t>
      </w:r>
      <w:proofErr w:type="gramStart"/>
      <w:r w:rsidRPr="00DB47BD">
        <w:rPr>
          <w:rFonts w:hint="cs"/>
          <w:sz w:val="28"/>
          <w:szCs w:val="28"/>
          <w:rtl/>
        </w:rPr>
        <w:t>المقدسي(</w:t>
      </w:r>
      <w:proofErr w:type="gramEnd"/>
      <w:r w:rsidRPr="00DB47BD">
        <w:rPr>
          <w:rFonts w:hint="cs"/>
          <w:sz w:val="28"/>
          <w:szCs w:val="28"/>
          <w:rtl/>
        </w:rPr>
        <w:t>7/58).</w:t>
      </w:r>
    </w:p>
  </w:footnote>
  <w:footnote w:id="44">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السابق. </w:t>
      </w:r>
    </w:p>
  </w:footnote>
  <w:footnote w:id="45">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التوضيح شرح مختصر ابن الحاجب (2/767-768).</w:t>
      </w:r>
    </w:p>
  </w:footnote>
  <w:footnote w:id="46">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السابق.</w:t>
      </w:r>
    </w:p>
  </w:footnote>
  <w:footnote w:id="47">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عقد الجواهر الثمينة لابن شاس (1/320)</w:t>
      </w:r>
    </w:p>
  </w:footnote>
  <w:footnote w:id="48">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الشرح الكبير (7/59).</w:t>
      </w:r>
    </w:p>
  </w:footnote>
  <w:footnote w:id="49">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رواه أبو داود في سننه، كتاب الزكاة، باب العروض إذا كانت للتجارة هل فيها </w:t>
      </w:r>
      <w:proofErr w:type="gramStart"/>
      <w:r w:rsidRPr="00DB47BD">
        <w:rPr>
          <w:rFonts w:hint="cs"/>
          <w:sz w:val="28"/>
          <w:szCs w:val="28"/>
          <w:rtl/>
        </w:rPr>
        <w:t>زكاة؟(</w:t>
      </w:r>
      <w:proofErr w:type="gramEnd"/>
      <w:r w:rsidRPr="00DB47BD">
        <w:rPr>
          <w:rFonts w:hint="cs"/>
          <w:sz w:val="28"/>
          <w:szCs w:val="28"/>
          <w:rtl/>
        </w:rPr>
        <w:t>1562).والبيهقي في سننه (4/146) وذكره ابن حزم في المحلى (5/374) وضعفه وأعله بأن رواته مجهولون.</w:t>
      </w:r>
    </w:p>
  </w:footnote>
  <w:footnote w:id="50">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الشرح الكبير (7/60)</w:t>
      </w:r>
    </w:p>
  </w:footnote>
  <w:footnote w:id="51">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السابق.</w:t>
      </w:r>
    </w:p>
  </w:footnote>
  <w:footnote w:id="52">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السابق.</w:t>
      </w:r>
    </w:p>
  </w:footnote>
  <w:footnote w:id="53">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المقدمات الممهدات (1/285)</w:t>
      </w:r>
    </w:p>
  </w:footnote>
  <w:footnote w:id="54">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التوضيح (2/768).</w:t>
      </w:r>
    </w:p>
  </w:footnote>
  <w:footnote w:id="55">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شرح الزركشي على مختصر </w:t>
      </w:r>
      <w:proofErr w:type="gramStart"/>
      <w:r w:rsidRPr="00DB47BD">
        <w:rPr>
          <w:rFonts w:hint="cs"/>
          <w:sz w:val="28"/>
          <w:szCs w:val="28"/>
          <w:rtl/>
        </w:rPr>
        <w:t>الخرقي(</w:t>
      </w:r>
      <w:proofErr w:type="gramEnd"/>
      <w:r w:rsidRPr="00DB47BD">
        <w:rPr>
          <w:rFonts w:hint="cs"/>
          <w:sz w:val="28"/>
          <w:szCs w:val="28"/>
          <w:rtl/>
        </w:rPr>
        <w:t>2/516).</w:t>
      </w:r>
    </w:p>
  </w:footnote>
  <w:footnote w:id="56">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رد المحتار (2/288)، والتوضيح (2/768). والشرح </w:t>
      </w:r>
      <w:proofErr w:type="gramStart"/>
      <w:r w:rsidRPr="00DB47BD">
        <w:rPr>
          <w:rFonts w:hint="cs"/>
          <w:sz w:val="28"/>
          <w:szCs w:val="28"/>
          <w:rtl/>
        </w:rPr>
        <w:t>الكبير(</w:t>
      </w:r>
      <w:proofErr w:type="gramEnd"/>
      <w:r w:rsidRPr="00DB47BD">
        <w:rPr>
          <w:rFonts w:hint="cs"/>
          <w:sz w:val="28"/>
          <w:szCs w:val="28"/>
          <w:rtl/>
        </w:rPr>
        <w:t>7/59-60).</w:t>
      </w:r>
    </w:p>
  </w:footnote>
  <w:footnote w:id="57">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شرح الزركشي على مختصر الخرقي (2/517).</w:t>
      </w:r>
    </w:p>
  </w:footnote>
  <w:footnote w:id="58">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التوضيح (2/768).</w:t>
      </w:r>
    </w:p>
  </w:footnote>
  <w:footnote w:id="59">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بدائع الصنائع </w:t>
      </w:r>
      <w:proofErr w:type="spellStart"/>
      <w:r w:rsidRPr="00DB47BD">
        <w:rPr>
          <w:rFonts w:hint="cs"/>
          <w:sz w:val="28"/>
          <w:szCs w:val="28"/>
          <w:rtl/>
        </w:rPr>
        <w:t>للكاساني</w:t>
      </w:r>
      <w:proofErr w:type="spellEnd"/>
      <w:r w:rsidRPr="00DB47BD">
        <w:rPr>
          <w:rFonts w:hint="cs"/>
          <w:sz w:val="28"/>
          <w:szCs w:val="28"/>
          <w:rtl/>
        </w:rPr>
        <w:t xml:space="preserve"> (2/21) والمنتقى لأبي الوليد الباجي (2/170)، والمقدمات الممهدات (1/284).</w:t>
      </w:r>
    </w:p>
  </w:footnote>
  <w:footnote w:id="60">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التوضيح (2/767).</w:t>
      </w:r>
    </w:p>
  </w:footnote>
  <w:footnote w:id="61">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المنثور في القواعد للزركشي الشافعي (3/298-299).</w:t>
      </w:r>
    </w:p>
  </w:footnote>
  <w:footnote w:id="62">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المغني (4/257).</w:t>
      </w:r>
    </w:p>
  </w:footnote>
  <w:footnote w:id="63">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(7/58).</w:t>
      </w:r>
    </w:p>
  </w:footnote>
  <w:footnote w:id="64">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بدائع الصنائع </w:t>
      </w:r>
      <w:proofErr w:type="spellStart"/>
      <w:r w:rsidRPr="00DB47BD">
        <w:rPr>
          <w:rFonts w:hint="cs"/>
          <w:sz w:val="28"/>
          <w:szCs w:val="28"/>
          <w:rtl/>
        </w:rPr>
        <w:t>للكاساني</w:t>
      </w:r>
      <w:proofErr w:type="spellEnd"/>
      <w:r w:rsidRPr="00DB47BD">
        <w:rPr>
          <w:rFonts w:hint="cs"/>
          <w:sz w:val="28"/>
          <w:szCs w:val="28"/>
          <w:rtl/>
        </w:rPr>
        <w:t xml:space="preserve"> (2/161).</w:t>
      </w:r>
    </w:p>
  </w:footnote>
  <w:footnote w:id="65">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المجموع شرح </w:t>
      </w:r>
      <w:proofErr w:type="gramStart"/>
      <w:r w:rsidRPr="00DB47BD">
        <w:rPr>
          <w:rFonts w:hint="cs"/>
          <w:sz w:val="28"/>
          <w:szCs w:val="28"/>
          <w:rtl/>
        </w:rPr>
        <w:t>المهذب(</w:t>
      </w:r>
      <w:proofErr w:type="gramEnd"/>
      <w:r w:rsidRPr="00DB47BD">
        <w:rPr>
          <w:rFonts w:hint="cs"/>
          <w:sz w:val="28"/>
          <w:szCs w:val="28"/>
          <w:rtl/>
        </w:rPr>
        <w:t>3/277).</w:t>
      </w:r>
    </w:p>
  </w:footnote>
  <w:footnote w:id="66">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عقد الجواهر الثمينة (1/366)، والمغني لابن قدامة (4/370)</w:t>
      </w:r>
    </w:p>
  </w:footnote>
  <w:footnote w:id="67">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w:t>
      </w:r>
      <w:proofErr w:type="gramStart"/>
      <w:r w:rsidRPr="00DB47BD">
        <w:rPr>
          <w:rFonts w:hint="cs"/>
          <w:sz w:val="28"/>
          <w:szCs w:val="28"/>
          <w:rtl/>
        </w:rPr>
        <w:t>ينظر :</w:t>
      </w:r>
      <w:proofErr w:type="gramEnd"/>
      <w:r w:rsidRPr="00DB47BD">
        <w:rPr>
          <w:rFonts w:hint="cs"/>
          <w:sz w:val="28"/>
          <w:szCs w:val="28"/>
          <w:rtl/>
        </w:rPr>
        <w:t xml:space="preserve"> المغني (4/370).</w:t>
      </w:r>
    </w:p>
  </w:footnote>
  <w:footnote w:id="68">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بدائع الصنائع (2/92).</w:t>
      </w:r>
    </w:p>
  </w:footnote>
  <w:footnote w:id="69">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الإحكام في أصول الأحكام للآمدي (1/147) </w:t>
      </w:r>
    </w:p>
  </w:footnote>
  <w:footnote w:id="70">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بدائع الصنائع </w:t>
      </w:r>
      <w:proofErr w:type="spellStart"/>
      <w:r w:rsidRPr="00DB47BD">
        <w:rPr>
          <w:rFonts w:hint="cs"/>
          <w:sz w:val="28"/>
          <w:szCs w:val="28"/>
          <w:rtl/>
        </w:rPr>
        <w:t>للكاساني</w:t>
      </w:r>
      <w:proofErr w:type="spellEnd"/>
      <w:r w:rsidRPr="00DB47BD">
        <w:rPr>
          <w:rFonts w:hint="cs"/>
          <w:sz w:val="28"/>
          <w:szCs w:val="28"/>
          <w:rtl/>
        </w:rPr>
        <w:t xml:space="preserve"> (2/161).</w:t>
      </w:r>
    </w:p>
  </w:footnote>
  <w:footnote w:id="71">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الشرح الكبير مع حاشية الدسوقي (2/21).</w:t>
      </w:r>
    </w:p>
  </w:footnote>
  <w:footnote w:id="72">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مجموع الفتاوى (26/108).</w:t>
      </w:r>
    </w:p>
  </w:footnote>
  <w:footnote w:id="73">
    <w:p w:rsidR="00CA4869" w:rsidRPr="00DB47BD" w:rsidRDefault="00CA4869" w:rsidP="00CA4869">
      <w:pPr>
        <w:pStyle w:val="a3"/>
        <w:ind w:left="510" w:hanging="510"/>
        <w:jc w:val="lowKashida"/>
        <w:rPr>
          <w:sz w:val="28"/>
          <w:szCs w:val="28"/>
        </w:rPr>
      </w:pPr>
      <w:r w:rsidRPr="00DB47BD">
        <w:rPr>
          <w:rStyle w:val="a4"/>
          <w:rFonts w:hint="cs"/>
          <w:sz w:val="28"/>
          <w:szCs w:val="28"/>
          <w:rtl/>
        </w:rPr>
        <w:t>(</w:t>
      </w:r>
      <w:r w:rsidRPr="00DB47BD">
        <w:rPr>
          <w:rStyle w:val="a4"/>
          <w:sz w:val="28"/>
          <w:szCs w:val="28"/>
          <w:rtl/>
        </w:rPr>
        <w:footnoteRef/>
      </w:r>
      <w:r w:rsidRPr="00DB47BD">
        <w:rPr>
          <w:rStyle w:val="a4"/>
          <w:rFonts w:hint="cs"/>
          <w:sz w:val="28"/>
          <w:szCs w:val="28"/>
          <w:rtl/>
        </w:rPr>
        <w:t>)</w:t>
      </w:r>
      <w:r w:rsidRPr="00DB47BD">
        <w:rPr>
          <w:rFonts w:hint="cs"/>
          <w:sz w:val="28"/>
          <w:szCs w:val="28"/>
          <w:rtl/>
        </w:rPr>
        <w:t xml:space="preserve">  ينظر: المجموع شرح </w:t>
      </w:r>
      <w:proofErr w:type="gramStart"/>
      <w:r w:rsidRPr="00DB47BD">
        <w:rPr>
          <w:rFonts w:hint="cs"/>
          <w:sz w:val="28"/>
          <w:szCs w:val="28"/>
          <w:rtl/>
        </w:rPr>
        <w:t>المهذب(</w:t>
      </w:r>
      <w:proofErr w:type="gramEnd"/>
      <w:r w:rsidRPr="00DB47BD">
        <w:rPr>
          <w:rFonts w:hint="cs"/>
          <w:sz w:val="28"/>
          <w:szCs w:val="28"/>
          <w:rtl/>
        </w:rPr>
        <w:t>7/223)، والشرح الكبير للمقدسي (8/210).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713AD2"/>
    <w:multiLevelType w:val="hybridMultilevel"/>
    <w:tmpl w:val="EE04C4DE"/>
    <w:lvl w:ilvl="0" w:tplc="4FEA441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450DE"/>
    <w:multiLevelType w:val="hybridMultilevel"/>
    <w:tmpl w:val="6E94B3F8"/>
    <w:lvl w:ilvl="0" w:tplc="C26881E0">
      <w:start w:val="1"/>
      <w:numFmt w:val="decimal"/>
      <w:lvlText w:val="%1-"/>
      <w:lvlJc w:val="left"/>
      <w:pPr>
        <w:ind w:left="1174" w:hanging="720"/>
      </w:pPr>
      <w:rPr>
        <w:rFonts w:ascii="Traditional Arabic" w:eastAsia="Times New Roman" w:hAnsi="Traditional Arabic" w:cs="Traditional Arabic"/>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2" w15:restartNumberingAfterBreak="0">
    <w:nsid w:val="262342CB"/>
    <w:multiLevelType w:val="hybridMultilevel"/>
    <w:tmpl w:val="A2DA0012"/>
    <w:lvl w:ilvl="0" w:tplc="BB4001DC">
      <w:start w:val="1"/>
      <w:numFmt w:val="decimal"/>
      <w:lvlText w:val="%1-"/>
      <w:lvlJc w:val="left"/>
      <w:pPr>
        <w:ind w:left="1174" w:hanging="72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3" w15:restartNumberingAfterBreak="0">
    <w:nsid w:val="320235B9"/>
    <w:multiLevelType w:val="hybridMultilevel"/>
    <w:tmpl w:val="DA8E2878"/>
    <w:lvl w:ilvl="0" w:tplc="BF5A7A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6F143D"/>
    <w:multiLevelType w:val="hybridMultilevel"/>
    <w:tmpl w:val="A3C8DA3E"/>
    <w:lvl w:ilvl="0" w:tplc="01BA740E">
      <w:start w:val="1"/>
      <w:numFmt w:val="decimal"/>
      <w:lvlText w:val="%1-"/>
      <w:lvlJc w:val="left"/>
      <w:pPr>
        <w:ind w:left="960" w:hanging="72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 w15:restartNumberingAfterBreak="0">
    <w:nsid w:val="5FBF6331"/>
    <w:multiLevelType w:val="hybridMultilevel"/>
    <w:tmpl w:val="8544E71E"/>
    <w:lvl w:ilvl="0" w:tplc="A55E9A06">
      <w:start w:val="1"/>
      <w:numFmt w:val="decimal"/>
      <w:lvlText w:val="%1-"/>
      <w:lvlJc w:val="left"/>
      <w:pPr>
        <w:ind w:left="1174" w:hanging="72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6" w15:restartNumberingAfterBreak="0">
    <w:nsid w:val="65E962B3"/>
    <w:multiLevelType w:val="hybridMultilevel"/>
    <w:tmpl w:val="3A66EACC"/>
    <w:lvl w:ilvl="0" w:tplc="A10CF450">
      <w:start w:val="1"/>
      <w:numFmt w:val="decimal"/>
      <w:lvlText w:val="%1-"/>
      <w:lvlJc w:val="left"/>
      <w:pPr>
        <w:ind w:left="1174" w:hanging="72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7" w15:restartNumberingAfterBreak="0">
    <w:nsid w:val="6A5225FF"/>
    <w:multiLevelType w:val="hybridMultilevel"/>
    <w:tmpl w:val="E7E62AB6"/>
    <w:lvl w:ilvl="0" w:tplc="1CDEE4E0">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9B430A"/>
    <w:multiLevelType w:val="hybridMultilevel"/>
    <w:tmpl w:val="BEB6F1F6"/>
    <w:lvl w:ilvl="0" w:tplc="9646A5D6">
      <w:start w:val="1"/>
      <w:numFmt w:val="decimal"/>
      <w:lvlText w:val="%1-"/>
      <w:lvlJc w:val="left"/>
      <w:pPr>
        <w:ind w:left="1570" w:hanging="720"/>
      </w:pPr>
      <w:rPr>
        <w:rFonts w:hint="default"/>
        <w:b/>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num w:numId="1" w16cid:durableId="1250654736">
    <w:abstractNumId w:val="2"/>
  </w:num>
  <w:num w:numId="2" w16cid:durableId="283343610">
    <w:abstractNumId w:val="6"/>
  </w:num>
  <w:num w:numId="3" w16cid:durableId="382870470">
    <w:abstractNumId w:val="8"/>
  </w:num>
  <w:num w:numId="4" w16cid:durableId="879365426">
    <w:abstractNumId w:val="1"/>
  </w:num>
  <w:num w:numId="5" w16cid:durableId="2060812018">
    <w:abstractNumId w:val="5"/>
  </w:num>
  <w:num w:numId="6" w16cid:durableId="1693679370">
    <w:abstractNumId w:val="3"/>
  </w:num>
  <w:num w:numId="7" w16cid:durableId="1912078888">
    <w:abstractNumId w:val="0"/>
  </w:num>
  <w:num w:numId="8" w16cid:durableId="2132356706">
    <w:abstractNumId w:val="4"/>
  </w:num>
  <w:num w:numId="9" w16cid:durableId="7722138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869"/>
    <w:rsid w:val="00251BA8"/>
    <w:rsid w:val="00424DF3"/>
    <w:rsid w:val="004369B2"/>
    <w:rsid w:val="00CA4869"/>
    <w:rsid w:val="00D95EDD"/>
    <w:rsid w:val="00DE1F69"/>
    <w:rsid w:val="00ED71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4BB1D"/>
  <w15:chartTrackingRefBased/>
  <w15:docId w15:val="{36C2B33B-733B-4013-B521-34CD4FE7D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869"/>
    <w:pPr>
      <w:bidi/>
      <w:spacing w:after="200" w:line="276" w:lineRule="auto"/>
    </w:pPr>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Char2 Char,Char2 Char Char Char Char Char Char Char Char Char,Char2 Char Char Char Char Char Char Char Char, Char2 Char, Char2 Char Char Char Char Char Char Char Char Char, Char2 Char Char Char Char Char Char Char Char,نص حاشية سفلية2"/>
    <w:basedOn w:val="a"/>
    <w:link w:val="Char"/>
    <w:unhideWhenUsed/>
    <w:rsid w:val="00CA4869"/>
    <w:pPr>
      <w:spacing w:after="0" w:line="240" w:lineRule="auto"/>
    </w:pPr>
    <w:rPr>
      <w:sz w:val="20"/>
      <w:szCs w:val="20"/>
    </w:rPr>
  </w:style>
  <w:style w:type="character" w:customStyle="1" w:styleId="Char">
    <w:name w:val="نص حاشية سفلية Char"/>
    <w:aliases w:val="Char2 Char Char4,Char2 Char Char Char Char Char Char Char Char Char Char4,Char2 Char Char Char Char Char Char Char Char Char3, Char2 Char Char1, Char2 Char Char Char Char Char Char Char Char Char Char3,نص حاشية سفلية2 Char2"/>
    <w:basedOn w:val="a0"/>
    <w:link w:val="a3"/>
    <w:rsid w:val="00CA4869"/>
    <w:rPr>
      <w:kern w:val="0"/>
      <w:sz w:val="20"/>
      <w:szCs w:val="20"/>
      <w14:ligatures w14:val="none"/>
    </w:rPr>
  </w:style>
  <w:style w:type="character" w:styleId="a4">
    <w:name w:val="footnote reference"/>
    <w:aliases w:val="Footnote Reference1,Footnote Reference2,Footnote Reference11,Footnote Reference21,Footnote Reference12,Footnote Reference22,Footnote Reference13,Footnote Reference23,Footnote Reference111,Footnote Reference211,Footnote Reference121"/>
    <w:basedOn w:val="a0"/>
    <w:unhideWhenUsed/>
    <w:rsid w:val="00CA4869"/>
    <w:rPr>
      <w:vertAlign w:val="superscript"/>
    </w:rPr>
  </w:style>
  <w:style w:type="paragraph" w:styleId="a5">
    <w:name w:val="List Paragraph"/>
    <w:basedOn w:val="a"/>
    <w:uiPriority w:val="34"/>
    <w:qFormat/>
    <w:rsid w:val="00CA48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23</Pages>
  <Words>3689</Words>
  <Characters>21032</Characters>
  <Application>Microsoft Office Word</Application>
  <DocSecurity>0</DocSecurity>
  <Lines>175</Lines>
  <Paragraphs>49</Paragraphs>
  <ScaleCrop>false</ScaleCrop>
  <Company/>
  <LinksUpToDate>false</LinksUpToDate>
  <CharactersWithSpaces>24672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 w</dc:creator>
  <cp:keywords/>
  <dc:description/>
  <cp:lastModifiedBy>w w</cp:lastModifiedBy>
  <cp:revision>1</cp:revision>
  <dcterms:created xsi:type="dcterms:W3CDTF">2024-12-08T00:53:00Z</dcterms:created>
  <dcterms:modified xsi:type="dcterms:W3CDTF">2024-12-08T00:55:00Z</dcterms:modified>
</cp:coreProperties>
</file>